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0E226">
      <w:pPr>
        <w:keepNext w:val="0"/>
        <w:keepLines w:val="0"/>
        <w:widowControl/>
        <w:suppressLineNumbers w:val="0"/>
        <w:jc w:val="center"/>
        <w:rPr>
          <w:rFonts w:hint="default" w:ascii="Arial" w:hAnsi="Arial" w:eastAsia="Calibri-Bold" w:cs="Arial"/>
          <w:b/>
          <w:bCs/>
          <w:color w:val="0070C0"/>
          <w:kern w:val="0"/>
          <w:sz w:val="24"/>
          <w:szCs w:val="24"/>
          <w:lang w:val="fr-FR" w:eastAsia="zh-CN" w:bidi="ar"/>
        </w:rPr>
      </w:pPr>
      <w:r>
        <w:rPr>
          <w:sz w:val="24"/>
        </w:rPr>
        <mc:AlternateContent>
          <mc:Choice Requires="wps">
            <w:drawing>
              <wp:anchor distT="0" distB="0" distL="114300" distR="114300" simplePos="0" relativeHeight="251659264" behindDoc="0" locked="0" layoutInCell="1" allowOverlap="1">
                <wp:simplePos x="0" y="0"/>
                <wp:positionH relativeFrom="column">
                  <wp:posOffset>-300990</wp:posOffset>
                </wp:positionH>
                <wp:positionV relativeFrom="paragraph">
                  <wp:posOffset>-58420</wp:posOffset>
                </wp:positionV>
                <wp:extent cx="5953125" cy="9525"/>
                <wp:effectExtent l="0" t="6350" r="9525" b="12700"/>
                <wp:wrapNone/>
                <wp:docPr id="2" name="Connecteur droit 2"/>
                <wp:cNvGraphicFramePr/>
                <a:graphic xmlns:a="http://schemas.openxmlformats.org/drawingml/2006/main">
                  <a:graphicData uri="http://schemas.microsoft.com/office/word/2010/wordprocessingShape">
                    <wps:wsp>
                      <wps:cNvCnPr/>
                      <wps:spPr>
                        <a:xfrm flipV="1">
                          <a:off x="803910" y="963295"/>
                          <a:ext cx="5953125" cy="95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3.7pt;margin-top:-4.6pt;height:0.75pt;width:468.75pt;z-index:251659264;mso-width-relative:page;mso-height-relative:page;" filled="f" stroked="t" coordsize="21600,21600" o:gfxdata="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DFRY&#10;1QAAAAkBAAAPAAAAAAAAAAEAIAAAACIAAABkcnMvZG93bnJldi54bWxQSwECFAAUAAAACACHTuJA&#10;fxgj/esBAADKAwAADgAAAAAAAAABACAAAAAkAQAAZHJzL2Uyb0RvYy54bWxQSwUGAAAAAAYABgBZ&#10;AQAAgQUAAAAA&#10;">
                <v:fill on="f" focussize="0,0"/>
                <v:stroke weight="1pt" color="#5B9BD5 [3204]" miterlimit="8" joinstyle="miter"/>
                <v:imagedata o:title=""/>
                <o:lock v:ext="edit" aspectratio="f"/>
              </v:line>
            </w:pict>
          </mc:Fallback>
        </mc:AlternateContent>
      </w:r>
      <w:r>
        <w:rPr>
          <w:rFonts w:hint="default" w:ascii="Arial" w:hAnsi="Arial" w:eastAsia="Calibri-Bold" w:cs="Arial"/>
          <w:b/>
          <w:bCs/>
          <w:color w:val="0070C0"/>
          <w:kern w:val="0"/>
          <w:sz w:val="24"/>
          <w:szCs w:val="24"/>
          <w:lang w:val="fr-FR" w:eastAsia="zh-CN" w:bidi="ar"/>
        </w:rPr>
        <w:t>Appel à candidature pour mener</w:t>
      </w:r>
    </w:p>
    <w:p w14:paraId="15098155">
      <w:pPr>
        <w:keepNext w:val="0"/>
        <w:keepLines w:val="0"/>
        <w:widowControl/>
        <w:suppressLineNumbers w:val="0"/>
        <w:jc w:val="center"/>
        <w:rPr>
          <w:rFonts w:hint="default" w:ascii="Arial" w:hAnsi="Arial" w:eastAsia="Calibri-Bold" w:cs="Arial"/>
          <w:b/>
          <w:bCs/>
          <w:color w:val="0070C0"/>
          <w:kern w:val="0"/>
          <w:sz w:val="24"/>
          <w:szCs w:val="24"/>
          <w:lang w:val="fr-FR" w:eastAsia="zh-CN" w:bidi="ar"/>
        </w:rPr>
      </w:pPr>
      <w:r>
        <w:rPr>
          <w:rFonts w:hint="default" w:ascii="Arial" w:hAnsi="Arial" w:eastAsia="Calibri-Bold" w:cs="Arial"/>
          <w:b/>
          <w:bCs/>
          <w:color w:val="0070C0"/>
          <w:kern w:val="0"/>
          <w:sz w:val="24"/>
          <w:szCs w:val="24"/>
          <w:lang w:val="fr-FR" w:eastAsia="zh-CN" w:bidi="ar"/>
        </w:rPr>
        <w:t>une étude pour l’évaluation des obstacles qui entravent l’accès des usagers des SPA aux services de prise en charge du VIH, des Hépatites virales et des IST</w:t>
      </w:r>
    </w:p>
    <w:p w14:paraId="23FCC2DB">
      <w:pPr>
        <w:keepNext w:val="0"/>
        <w:keepLines w:val="0"/>
        <w:widowControl/>
        <w:suppressLineNumbers w:val="0"/>
        <w:jc w:val="center"/>
        <w:rPr>
          <w:rFonts w:hint="default" w:ascii="Arial" w:hAnsi="Arial" w:eastAsia="Calibri-Bold" w:cs="Arial"/>
          <w:b/>
          <w:bCs/>
          <w:color w:val="0070C0"/>
          <w:kern w:val="0"/>
          <w:sz w:val="24"/>
          <w:szCs w:val="24"/>
          <w:lang w:val="fr-FR" w:eastAsia="zh-CN" w:bidi="ar"/>
        </w:rPr>
      </w:pPr>
    </w:p>
    <w:p w14:paraId="65965B40">
      <w:pPr>
        <w:keepNext w:val="0"/>
        <w:keepLines w:val="0"/>
        <w:widowControl/>
        <w:suppressLineNumbers w:val="0"/>
        <w:jc w:val="center"/>
        <w:rPr>
          <w:rFonts w:hint="default" w:ascii="Arial" w:hAnsi="Arial" w:eastAsia="Calibri-Bold" w:cs="Arial"/>
          <w:b/>
          <w:bCs/>
          <w:color w:val="0070C0"/>
          <w:kern w:val="0"/>
          <w:sz w:val="24"/>
          <w:szCs w:val="24"/>
          <w:lang w:val="fr-FR" w:eastAsia="zh-CN" w:bidi="ar"/>
        </w:rPr>
      </w:pPr>
    </w:p>
    <w:tbl>
      <w:tblPr>
        <w:tblStyle w:val="7"/>
        <w:tblW w:w="0" w:type="auto"/>
        <w:tblInd w:w="6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293"/>
        <w:gridCol w:w="5053"/>
      </w:tblGrid>
      <w:tr w14:paraId="7557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93" w:type="dxa"/>
            <w:shd w:val="clear" w:color="auto" w:fill="auto"/>
            <w:tcMar>
              <w:top w:w="0" w:type="dxa"/>
              <w:left w:w="0" w:type="dxa"/>
              <w:bottom w:w="0" w:type="dxa"/>
              <w:right w:w="0" w:type="dxa"/>
            </w:tcMar>
            <w:vAlign w:val="center"/>
          </w:tcPr>
          <w:p w14:paraId="6DC071AC">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SimSun" w:cs="Calibri Light"/>
                <w:b/>
                <w:bCs/>
                <w:kern w:val="0"/>
                <w:sz w:val="20"/>
                <w:szCs w:val="20"/>
                <w:lang w:val="en-US" w:eastAsia="zh-CN" w:bidi="ar"/>
              </w:rPr>
              <w:t>Lieu :</w:t>
            </w:r>
          </w:p>
        </w:tc>
        <w:tc>
          <w:tcPr>
            <w:tcW w:w="5053" w:type="dxa"/>
            <w:shd w:val="clear" w:color="auto" w:fill="auto"/>
            <w:tcMar>
              <w:top w:w="0" w:type="dxa"/>
              <w:left w:w="0" w:type="dxa"/>
              <w:bottom w:w="0" w:type="dxa"/>
              <w:right w:w="0" w:type="dxa"/>
            </w:tcMar>
            <w:vAlign w:val="center"/>
          </w:tcPr>
          <w:p w14:paraId="7F198DF8">
            <w:pPr>
              <w:keepNext w:val="0"/>
              <w:keepLines w:val="0"/>
              <w:widowControl/>
              <w:suppressLineNumbers w:val="0"/>
              <w:jc w:val="left"/>
              <w:rPr>
                <w:rFonts w:hint="default" w:ascii="Calibri" w:hAnsi="Calibri" w:cs="Calibri"/>
                <w:sz w:val="20"/>
                <w:szCs w:val="20"/>
                <w:lang w:val="fr-FR"/>
              </w:rPr>
            </w:pPr>
            <w:r>
              <w:rPr>
                <w:rFonts w:hint="default" w:ascii="Calibri" w:hAnsi="Calibri" w:eastAsia="SimSun" w:cs="Calibri"/>
                <w:color w:val="000000"/>
                <w:kern w:val="0"/>
                <w:sz w:val="20"/>
                <w:szCs w:val="20"/>
                <w:lang w:val="en-US" w:eastAsia="zh-CN" w:bidi="ar"/>
              </w:rPr>
              <w:t>Grand Tunis, Sousse, Monastir,</w:t>
            </w:r>
            <w:r>
              <w:rPr>
                <w:rFonts w:hint="default" w:ascii="Calibri" w:hAnsi="Calibri" w:eastAsia="SimSun" w:cs="Calibri"/>
                <w:color w:val="000000"/>
                <w:kern w:val="0"/>
                <w:sz w:val="20"/>
                <w:szCs w:val="20"/>
                <w:lang w:val="fr-FR" w:eastAsia="zh-CN" w:bidi="ar"/>
              </w:rPr>
              <w:t>Sfax</w:t>
            </w:r>
          </w:p>
        </w:tc>
      </w:tr>
      <w:tr w14:paraId="20C0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93" w:type="dxa"/>
            <w:shd w:val="clear" w:color="auto" w:fill="auto"/>
            <w:tcMar>
              <w:top w:w="0" w:type="dxa"/>
              <w:left w:w="0" w:type="dxa"/>
              <w:bottom w:w="0" w:type="dxa"/>
              <w:right w:w="0" w:type="dxa"/>
            </w:tcMar>
            <w:vAlign w:val="center"/>
          </w:tcPr>
          <w:p w14:paraId="10468AE9">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SimSun" w:cs="Calibri Light"/>
                <w:b/>
                <w:bCs/>
                <w:kern w:val="0"/>
                <w:sz w:val="20"/>
                <w:szCs w:val="20"/>
                <w:lang w:val="en-US" w:eastAsia="zh-CN" w:bidi="ar"/>
              </w:rPr>
              <w:t>Date de début :</w:t>
            </w:r>
          </w:p>
        </w:tc>
        <w:tc>
          <w:tcPr>
            <w:tcW w:w="5053" w:type="dxa"/>
            <w:shd w:val="clear" w:color="auto" w:fill="auto"/>
            <w:tcMar>
              <w:top w:w="0" w:type="dxa"/>
              <w:left w:w="0" w:type="dxa"/>
              <w:bottom w:w="0" w:type="dxa"/>
              <w:right w:w="0" w:type="dxa"/>
            </w:tcMar>
            <w:vAlign w:val="center"/>
          </w:tcPr>
          <w:p w14:paraId="519AE8EA">
            <w:pPr>
              <w:keepNext w:val="0"/>
              <w:keepLines w:val="0"/>
              <w:widowControl/>
              <w:suppressLineNumbers w:val="0"/>
              <w:jc w:val="left"/>
              <w:rPr>
                <w:rFonts w:hint="default" w:ascii="Calibri" w:hAnsi="Calibri" w:cs="Calibri"/>
                <w:sz w:val="20"/>
                <w:szCs w:val="20"/>
                <w:lang w:val="fr-FR"/>
              </w:rPr>
            </w:pPr>
            <w:r>
              <w:rPr>
                <w:rFonts w:hint="default" w:ascii="Calibri" w:hAnsi="Calibri" w:cs="Calibri"/>
                <w:sz w:val="20"/>
                <w:szCs w:val="20"/>
                <w:lang w:val="fr-FR"/>
              </w:rPr>
              <w:t>Novembre 2024</w:t>
            </w:r>
          </w:p>
        </w:tc>
      </w:tr>
      <w:tr w14:paraId="6F4D1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93" w:type="dxa"/>
            <w:shd w:val="clear" w:color="auto" w:fill="auto"/>
            <w:tcMar>
              <w:top w:w="0" w:type="dxa"/>
              <w:left w:w="0" w:type="dxa"/>
              <w:bottom w:w="0" w:type="dxa"/>
              <w:right w:w="0" w:type="dxa"/>
            </w:tcMar>
            <w:vAlign w:val="center"/>
          </w:tcPr>
          <w:p w14:paraId="02705F35">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SimSun" w:cs="Calibri Light"/>
                <w:b/>
                <w:bCs/>
                <w:kern w:val="0"/>
                <w:sz w:val="20"/>
                <w:szCs w:val="20"/>
                <w:lang w:val="en-US" w:eastAsia="zh-CN" w:bidi="ar"/>
              </w:rPr>
              <w:t>Date de fin :</w:t>
            </w:r>
          </w:p>
        </w:tc>
        <w:tc>
          <w:tcPr>
            <w:tcW w:w="5053" w:type="dxa"/>
            <w:shd w:val="clear" w:color="auto" w:fill="auto"/>
            <w:tcMar>
              <w:top w:w="0" w:type="dxa"/>
              <w:left w:w="0" w:type="dxa"/>
              <w:bottom w:w="0" w:type="dxa"/>
              <w:right w:w="0" w:type="dxa"/>
            </w:tcMar>
            <w:vAlign w:val="center"/>
          </w:tcPr>
          <w:p w14:paraId="223BCB53">
            <w:pPr>
              <w:keepNext w:val="0"/>
              <w:keepLines w:val="0"/>
              <w:widowControl/>
              <w:suppressLineNumbers w:val="0"/>
              <w:jc w:val="left"/>
              <w:rPr>
                <w:rFonts w:hint="default" w:ascii="Calibri" w:hAnsi="Calibri" w:cs="Calibri"/>
                <w:sz w:val="20"/>
                <w:szCs w:val="20"/>
              </w:rPr>
            </w:pPr>
            <w:r>
              <w:rPr>
                <w:rFonts w:hint="default" w:ascii="Calibri" w:hAnsi="Calibri" w:eastAsia="Futura Md" w:cs="Calibri"/>
                <w:kern w:val="0"/>
                <w:sz w:val="20"/>
                <w:szCs w:val="20"/>
                <w:lang w:val="fr-FR" w:eastAsia="zh-CN" w:bidi="ar"/>
              </w:rPr>
              <w:t xml:space="preserve">Décembre </w:t>
            </w:r>
            <w:r>
              <w:rPr>
                <w:rFonts w:hint="default" w:ascii="Calibri" w:hAnsi="Calibri" w:eastAsia="Futura Md" w:cs="Calibri"/>
                <w:kern w:val="0"/>
                <w:sz w:val="20"/>
                <w:szCs w:val="20"/>
                <w:lang w:val="en-US" w:eastAsia="zh-CN" w:bidi="ar"/>
              </w:rPr>
              <w:t>2024</w:t>
            </w:r>
          </w:p>
        </w:tc>
      </w:tr>
      <w:tr w14:paraId="7EE0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93" w:type="dxa"/>
            <w:shd w:val="clear" w:color="auto" w:fill="auto"/>
            <w:tcMar>
              <w:top w:w="0" w:type="dxa"/>
              <w:left w:w="0" w:type="dxa"/>
              <w:bottom w:w="0" w:type="dxa"/>
              <w:right w:w="0" w:type="dxa"/>
            </w:tcMar>
            <w:vAlign w:val="center"/>
          </w:tcPr>
          <w:p w14:paraId="033A0D56">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SimSun" w:cs="Calibri Light"/>
                <w:b/>
                <w:bCs/>
                <w:kern w:val="0"/>
                <w:sz w:val="20"/>
                <w:szCs w:val="20"/>
                <w:lang w:val="en-US" w:eastAsia="zh-CN" w:bidi="ar"/>
              </w:rPr>
              <w:t>Type de contrat: </w:t>
            </w:r>
          </w:p>
        </w:tc>
        <w:tc>
          <w:tcPr>
            <w:tcW w:w="5053" w:type="dxa"/>
            <w:shd w:val="clear" w:color="auto" w:fill="auto"/>
            <w:tcMar>
              <w:top w:w="0" w:type="dxa"/>
              <w:left w:w="0" w:type="dxa"/>
              <w:bottom w:w="0" w:type="dxa"/>
              <w:right w:w="0" w:type="dxa"/>
            </w:tcMar>
            <w:vAlign w:val="center"/>
          </w:tcPr>
          <w:p w14:paraId="099F72E9">
            <w:pPr>
              <w:keepNext w:val="0"/>
              <w:keepLines w:val="0"/>
              <w:widowControl/>
              <w:suppressLineNumbers w:val="0"/>
              <w:jc w:val="left"/>
              <w:rPr>
                <w:rFonts w:hint="default" w:ascii="Calibri" w:hAnsi="Calibri" w:cs="Calibri"/>
                <w:sz w:val="20"/>
                <w:szCs w:val="20"/>
              </w:rPr>
            </w:pPr>
            <w:r>
              <w:rPr>
                <w:rFonts w:hint="default" w:ascii="Calibri" w:hAnsi="Calibri" w:eastAsia="Futura Md" w:cs="Calibri"/>
                <w:kern w:val="0"/>
                <w:sz w:val="20"/>
                <w:szCs w:val="20"/>
                <w:lang w:val="en-US" w:eastAsia="zh-CN" w:bidi="ar"/>
              </w:rPr>
              <w:t>Consultation nationale</w:t>
            </w:r>
          </w:p>
        </w:tc>
      </w:tr>
      <w:tr w14:paraId="6E75A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93" w:type="dxa"/>
            <w:shd w:val="clear" w:color="auto" w:fill="auto"/>
            <w:tcMar>
              <w:top w:w="0" w:type="dxa"/>
              <w:left w:w="0" w:type="dxa"/>
              <w:bottom w:w="0" w:type="dxa"/>
              <w:right w:w="0" w:type="dxa"/>
            </w:tcMar>
            <w:vAlign w:val="center"/>
          </w:tcPr>
          <w:p w14:paraId="0756DC2D">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SimSun" w:cs="Calibri Light"/>
                <w:b/>
                <w:bCs/>
                <w:kern w:val="0"/>
                <w:sz w:val="20"/>
                <w:szCs w:val="20"/>
                <w:lang w:val="en-US" w:eastAsia="zh-CN" w:bidi="ar"/>
              </w:rPr>
              <w:t>Langue :</w:t>
            </w:r>
          </w:p>
        </w:tc>
        <w:tc>
          <w:tcPr>
            <w:tcW w:w="5053" w:type="dxa"/>
            <w:shd w:val="clear" w:color="auto" w:fill="auto"/>
            <w:tcMar>
              <w:top w:w="0" w:type="dxa"/>
              <w:left w:w="0" w:type="dxa"/>
              <w:bottom w:w="0" w:type="dxa"/>
              <w:right w:w="0" w:type="dxa"/>
            </w:tcMar>
            <w:vAlign w:val="center"/>
          </w:tcPr>
          <w:p w14:paraId="751EA3F6">
            <w:pPr>
              <w:keepNext w:val="0"/>
              <w:keepLines w:val="0"/>
              <w:widowControl/>
              <w:suppressLineNumbers w:val="0"/>
              <w:jc w:val="left"/>
              <w:rPr>
                <w:rFonts w:hint="default" w:ascii="Calibri" w:hAnsi="Calibri" w:cs="Calibri"/>
                <w:sz w:val="20"/>
                <w:szCs w:val="20"/>
              </w:rPr>
            </w:pPr>
            <w:r>
              <w:rPr>
                <w:rFonts w:hint="default" w:ascii="Calibri" w:hAnsi="Calibri" w:eastAsia="Futura Md" w:cs="Calibri"/>
                <w:kern w:val="0"/>
                <w:sz w:val="20"/>
                <w:szCs w:val="20"/>
                <w:lang w:val="en-US" w:eastAsia="zh-CN" w:bidi="ar"/>
              </w:rPr>
              <w:t>Français</w:t>
            </w:r>
          </w:p>
        </w:tc>
      </w:tr>
      <w:tr w14:paraId="0DBB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93" w:type="dxa"/>
            <w:shd w:val="clear" w:color="auto" w:fill="auto"/>
            <w:tcMar>
              <w:top w:w="0" w:type="dxa"/>
              <w:left w:w="0" w:type="dxa"/>
              <w:bottom w:w="0" w:type="dxa"/>
              <w:right w:w="0" w:type="dxa"/>
            </w:tcMar>
            <w:vAlign w:val="center"/>
          </w:tcPr>
          <w:p w14:paraId="2D180002">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SimSun" w:cs="Calibri Light"/>
                <w:b/>
                <w:bCs/>
                <w:kern w:val="0"/>
                <w:sz w:val="20"/>
                <w:szCs w:val="20"/>
                <w:lang w:val="en-US" w:eastAsia="zh-CN" w:bidi="ar"/>
              </w:rPr>
              <w:t>Nombre de jours: </w:t>
            </w:r>
          </w:p>
        </w:tc>
        <w:tc>
          <w:tcPr>
            <w:tcW w:w="5053" w:type="dxa"/>
            <w:shd w:val="clear" w:color="auto" w:fill="auto"/>
            <w:tcMar>
              <w:top w:w="0" w:type="dxa"/>
              <w:left w:w="0" w:type="dxa"/>
              <w:bottom w:w="0" w:type="dxa"/>
              <w:right w:w="0" w:type="dxa"/>
            </w:tcMar>
            <w:vAlign w:val="center"/>
          </w:tcPr>
          <w:p w14:paraId="64A722FC">
            <w:pPr>
              <w:keepNext w:val="0"/>
              <w:keepLines w:val="0"/>
              <w:widowControl/>
              <w:suppressLineNumbers w:val="0"/>
              <w:jc w:val="left"/>
              <w:rPr>
                <w:rFonts w:hint="default" w:ascii="Calibri" w:hAnsi="Calibri" w:cs="Calibri"/>
                <w:sz w:val="20"/>
                <w:szCs w:val="20"/>
                <w:lang w:val="fr-FR"/>
              </w:rPr>
            </w:pPr>
            <w:r>
              <w:rPr>
                <w:rFonts w:hint="default" w:ascii="Calibri" w:hAnsi="Calibri" w:eastAsia="Futura Md" w:cs="Calibri"/>
                <w:kern w:val="0"/>
                <w:sz w:val="20"/>
                <w:szCs w:val="20"/>
                <w:lang w:val="fr-FR" w:eastAsia="zh-CN" w:bidi="ar"/>
              </w:rPr>
              <w:t>25 jours ouvrables</w:t>
            </w:r>
          </w:p>
        </w:tc>
      </w:tr>
    </w:tbl>
    <w:p w14:paraId="7459847E">
      <w:pPr>
        <w:pStyle w:val="4"/>
        <w:keepNext w:val="0"/>
        <w:keepLines w:val="0"/>
        <w:widowControl/>
        <w:suppressLineNumbers w:val="0"/>
        <w:spacing w:before="0" w:beforeAutospacing="0" w:after="360" w:afterAutospacing="0"/>
        <w:ind w:left="0" w:right="0"/>
        <w:rPr>
          <w:rFonts w:hint="default" w:ascii="Calibri Light" w:hAnsi="Calibri Light" w:eastAsia="Futura Md" w:cs="Calibri Light"/>
          <w:sz w:val="20"/>
          <w:szCs w:val="20"/>
        </w:rPr>
      </w:pPr>
      <w:r>
        <w:rPr>
          <w:rFonts w:hint="default" w:ascii="Calibri Light" w:hAnsi="Calibri Light" w:eastAsia="Futura Md" w:cs="Calibri Light"/>
          <w:sz w:val="20"/>
          <w:szCs w:val="20"/>
          <w:shd w:val="clear" w:fill="FFFFFF"/>
        </w:rPr>
        <w:t> </w:t>
      </w:r>
    </w:p>
    <w:p w14:paraId="71FCB4A0">
      <w:pPr>
        <w:keepNext w:val="0"/>
        <w:keepLines w:val="0"/>
        <w:widowControl/>
        <w:suppressLineNumbers w:val="0"/>
        <w:jc w:val="left"/>
        <w:rPr>
          <w:rFonts w:hint="default" w:ascii="Arial" w:hAnsi="Arial" w:cs="Arial"/>
          <w:sz w:val="24"/>
          <w:szCs w:val="24"/>
        </w:rPr>
      </w:pPr>
      <w:r>
        <w:rPr>
          <w:rFonts w:hint="default" w:ascii="Arial" w:hAnsi="Arial" w:eastAsia="Calibri-Bold" w:cs="Arial"/>
          <w:b/>
          <w:bCs/>
          <w:color w:val="4472C4"/>
          <w:kern w:val="0"/>
          <w:sz w:val="24"/>
          <w:szCs w:val="24"/>
          <w:lang w:val="en-US" w:eastAsia="zh-CN" w:bidi="ar"/>
        </w:rPr>
        <w:t xml:space="preserve">1. Contexte de la mission </w:t>
      </w:r>
    </w:p>
    <w:p w14:paraId="47F7BB63">
      <w:pPr>
        <w:keepNext w:val="0"/>
        <w:keepLines w:val="0"/>
        <w:widowControl/>
        <w:suppressLineNumbers w:val="0"/>
        <w:jc w:val="both"/>
        <w:rPr>
          <w:sz w:val="20"/>
          <w:szCs w:val="20"/>
        </w:rPr>
      </w:pPr>
      <w:r>
        <w:rPr>
          <w:rFonts w:ascii="Calibri" w:hAnsi="Calibri" w:eastAsia="SimSun" w:cs="Calibri"/>
          <w:color w:val="000000"/>
          <w:kern w:val="0"/>
          <w:sz w:val="20"/>
          <w:szCs w:val="20"/>
          <w:lang w:val="en-US" w:eastAsia="zh-CN" w:bidi="ar"/>
        </w:rPr>
        <w:t xml:space="preserve">En Tunisie, la Santé et Droits Sexuels et Reproductifs (SDSR) des jeunes est une préoccupation </w:t>
      </w:r>
      <w:r>
        <w:rPr>
          <w:rFonts w:hint="default" w:ascii="Calibri" w:hAnsi="Calibri" w:eastAsia="SimSun" w:cs="Calibri"/>
          <w:color w:val="000000"/>
          <w:kern w:val="0"/>
          <w:sz w:val="20"/>
          <w:szCs w:val="20"/>
          <w:lang w:val="en-US" w:eastAsia="zh-CN" w:bidi="ar"/>
        </w:rPr>
        <w:t xml:space="preserve">majeure. Les jeunes tunisiens sont confrontés à plusieurs défis en matière de SDSR, exacerbés par des barrières sociales et culturelles qui entravent leur accès aux services de santé. En effet, la prévalence du VIH/SIDA </w:t>
      </w:r>
      <w:r>
        <w:rPr>
          <w:rFonts w:hint="default" w:ascii="Calibri" w:hAnsi="Calibri" w:eastAsia="SimSun" w:cs="Calibri"/>
          <w:color w:val="000000"/>
          <w:kern w:val="0"/>
          <w:sz w:val="20"/>
          <w:szCs w:val="20"/>
          <w:lang w:val="fr-FR" w:eastAsia="zh-CN" w:bidi="ar"/>
        </w:rPr>
        <w:t>est</w:t>
      </w:r>
      <w:r>
        <w:rPr>
          <w:rFonts w:hint="default" w:ascii="Calibri" w:hAnsi="Calibri" w:eastAsia="SimSun" w:cs="Calibri"/>
          <w:color w:val="000000"/>
          <w:kern w:val="0"/>
          <w:sz w:val="20"/>
          <w:szCs w:val="20"/>
          <w:lang w:val="en-US" w:eastAsia="zh-CN" w:bidi="ar"/>
        </w:rPr>
        <w:t xml:space="preserve"> inférieure à 0.1%, selon l’ONUSIDA . Toutefois, cette prévalence est plus élevée chez les populations clés. De plus, le Plan stratégique national de lutte contre le VIH/SIDA (PSN) </w:t>
      </w:r>
    </w:p>
    <w:p w14:paraId="3A1EB607">
      <w:pPr>
        <w:keepNext w:val="0"/>
        <w:keepLines w:val="0"/>
        <w:widowControl/>
        <w:suppressLineNumbers w:val="0"/>
        <w:jc w:val="both"/>
        <w:rPr>
          <w:sz w:val="20"/>
          <w:szCs w:val="20"/>
        </w:rPr>
      </w:pPr>
      <w:r>
        <w:rPr>
          <w:rFonts w:hint="default" w:ascii="Calibri" w:hAnsi="Calibri" w:eastAsia="SimSun" w:cs="Calibri"/>
          <w:color w:val="000000"/>
          <w:kern w:val="0"/>
          <w:sz w:val="20"/>
          <w:szCs w:val="20"/>
          <w:lang w:val="en-US" w:eastAsia="zh-CN" w:bidi="ar"/>
        </w:rPr>
        <w:t xml:space="preserve">2021-2025 identifie les jeunes parmi les populations les plus vulnérables au VIH/SIDA en Tunisie. </w:t>
      </w:r>
    </w:p>
    <w:p w14:paraId="79877204">
      <w:pPr>
        <w:keepNext w:val="0"/>
        <w:keepLines w:val="0"/>
        <w:widowControl/>
        <w:suppressLineNumbers w:val="0"/>
        <w:jc w:val="both"/>
        <w:rPr>
          <w:rFonts w:hint="default" w:ascii="Calibri" w:hAnsi="Calibri" w:eastAsia="SimSun" w:cs="Calibri"/>
          <w:color w:val="000000"/>
          <w:kern w:val="0"/>
          <w:sz w:val="20"/>
          <w:szCs w:val="20"/>
          <w:lang w:val="fr-FR" w:eastAsia="zh-CN" w:bidi="ar"/>
        </w:rPr>
      </w:pPr>
      <w:r>
        <w:rPr>
          <w:rFonts w:hint="default" w:ascii="Calibri" w:hAnsi="Calibri" w:eastAsia="SimSun" w:cs="Calibri"/>
          <w:color w:val="000000"/>
          <w:kern w:val="0"/>
          <w:sz w:val="20"/>
          <w:szCs w:val="20"/>
          <w:lang w:val="en-US" w:eastAsia="zh-CN" w:bidi="ar"/>
        </w:rPr>
        <w:t xml:space="preserve">Malgré un engagement des autorités publiques et une forte mobilisation communautaire, de nombreux efforts restent à mener dans la lutte contre la stigmatisation et la discrimination des populations clés, notamment au sein des établissements publics de santé. Il s’agit des principales barrières d’accès aux services de </w:t>
      </w:r>
      <w:r>
        <w:rPr>
          <w:rFonts w:hint="default" w:ascii="Calibri" w:hAnsi="Calibri" w:eastAsia="SimSun" w:cs="Calibri"/>
          <w:color w:val="000000"/>
          <w:kern w:val="0"/>
          <w:sz w:val="20"/>
          <w:szCs w:val="20"/>
          <w:lang w:val="fr-FR" w:eastAsia="zh-CN" w:bidi="ar"/>
        </w:rPr>
        <w:t>prise en charge du VIH des Hépatites et des IST.</w:t>
      </w:r>
    </w:p>
    <w:p w14:paraId="35421C20">
      <w:pPr>
        <w:keepNext w:val="0"/>
        <w:keepLines w:val="0"/>
        <w:widowControl/>
        <w:suppressLineNumbers w:val="0"/>
        <w:jc w:val="both"/>
        <w:rPr>
          <w:rFonts w:hint="default" w:ascii="Calibri" w:hAnsi="Calibri" w:eastAsia="SimSun" w:cs="Calibri"/>
          <w:color w:val="000000"/>
          <w:kern w:val="0"/>
          <w:sz w:val="20"/>
          <w:szCs w:val="20"/>
          <w:lang w:val="fr-FR" w:eastAsia="zh-CN" w:bidi="ar"/>
        </w:rPr>
      </w:pPr>
      <w:r>
        <w:rPr>
          <w:rFonts w:hint="default" w:ascii="Calibri" w:hAnsi="Calibri" w:eastAsia="SimSun" w:cs="Calibri"/>
          <w:color w:val="000000"/>
          <w:kern w:val="0"/>
          <w:sz w:val="20"/>
          <w:szCs w:val="20"/>
          <w:lang w:val="fr-FR" w:eastAsia="zh-CN" w:bidi="ar"/>
        </w:rPr>
        <w:t>Malgré l’insuffisance des données, les estimations indiquent une évolution croissante du nombre des nouveaux cas et du nombre des décès au sein des populations clés. Selon les estimations du Spectrum (UNAIDS), seul 26% des PVVIH sont sous traitement antirétroviral (TARV).</w:t>
      </w:r>
    </w:p>
    <w:p w14:paraId="69B9F37F">
      <w:pPr>
        <w:keepNext w:val="0"/>
        <w:keepLines w:val="0"/>
        <w:widowControl/>
        <w:suppressLineNumbers w:val="0"/>
        <w:jc w:val="both"/>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Les difficultés d’accessibilité géographique à l’offre de soins pour les personnes résidant en zone intérieure représentent un autre frein dans la lutte contre l’épidémie : les seuls centres de prise en charge sont en effet tous situés en zones côtières . Par ailleurs, le niveau</w:t>
      </w:r>
      <w:r>
        <w:rPr>
          <w:rFonts w:hint="default" w:ascii="Calibri" w:hAnsi="Calibri" w:eastAsia="SimSun" w:cs="Calibri"/>
          <w:color w:val="000000"/>
          <w:kern w:val="0"/>
          <w:sz w:val="20"/>
          <w:szCs w:val="20"/>
          <w:lang w:val="fr-FR" w:eastAsia="zh-CN" w:bidi="ar"/>
        </w:rPr>
        <w:t xml:space="preserve"> </w:t>
      </w:r>
      <w:r>
        <w:rPr>
          <w:rFonts w:hint="default" w:ascii="Calibri" w:hAnsi="Calibri" w:eastAsia="SimSun" w:cs="Calibri"/>
          <w:color w:val="000000"/>
          <w:kern w:val="0"/>
          <w:sz w:val="20"/>
          <w:szCs w:val="20"/>
          <w:lang w:val="en-US" w:eastAsia="zh-CN" w:bidi="ar"/>
        </w:rPr>
        <w:t xml:space="preserve">d’information en santé et droits sexuels et reproductifs (SDSR) est aujourd’hui globalement faible, chez les jeunes en particulier. </w:t>
      </w:r>
    </w:p>
    <w:p w14:paraId="7871CD65">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5C5133C6"/>
    <w:p w14:paraId="19B41445">
      <w:pPr>
        <w:keepNext w:val="0"/>
        <w:keepLines w:val="0"/>
        <w:widowControl/>
        <w:suppressLineNumbers w:val="0"/>
        <w:jc w:val="left"/>
        <w:rPr>
          <w:rFonts w:hint="default" w:ascii="Arial" w:hAnsi="Arial" w:cs="Arial"/>
          <w:sz w:val="24"/>
          <w:szCs w:val="24"/>
        </w:rPr>
      </w:pPr>
      <w:r>
        <w:rPr>
          <w:rFonts w:hint="default" w:ascii="Arial" w:hAnsi="Arial" w:eastAsia="Calibri-Bold" w:cs="Arial"/>
          <w:b/>
          <w:bCs/>
          <w:color w:val="4472C4"/>
          <w:kern w:val="0"/>
          <w:sz w:val="24"/>
          <w:szCs w:val="24"/>
          <w:lang w:val="fr-FR" w:eastAsia="zh-CN" w:bidi="ar"/>
        </w:rPr>
        <w:t>2</w:t>
      </w:r>
      <w:r>
        <w:rPr>
          <w:rFonts w:hint="default" w:ascii="Arial" w:hAnsi="Arial" w:eastAsia="Calibri-Bold" w:cs="Arial"/>
          <w:b/>
          <w:bCs/>
          <w:color w:val="4472C4"/>
          <w:kern w:val="0"/>
          <w:sz w:val="24"/>
          <w:szCs w:val="24"/>
          <w:lang w:val="en-US" w:eastAsia="zh-CN" w:bidi="ar"/>
        </w:rPr>
        <w:t>. C</w:t>
      </w:r>
      <w:r>
        <w:rPr>
          <w:rFonts w:hint="default" w:ascii="Arial" w:hAnsi="Arial" w:eastAsia="Calibri-Bold" w:cs="Arial"/>
          <w:b/>
          <w:bCs/>
          <w:color w:val="4472C4"/>
          <w:kern w:val="0"/>
          <w:sz w:val="24"/>
          <w:szCs w:val="24"/>
          <w:lang w:val="fr-FR" w:eastAsia="zh-CN" w:bidi="ar"/>
        </w:rPr>
        <w:t xml:space="preserve">adre de </w:t>
      </w:r>
      <w:r>
        <w:rPr>
          <w:rFonts w:hint="default" w:ascii="Arial" w:hAnsi="Arial" w:eastAsia="Calibri-Bold" w:cs="Arial"/>
          <w:b/>
          <w:bCs/>
          <w:color w:val="4472C4"/>
          <w:kern w:val="0"/>
          <w:sz w:val="24"/>
          <w:szCs w:val="24"/>
          <w:lang w:val="en-US" w:eastAsia="zh-CN" w:bidi="ar"/>
        </w:rPr>
        <w:t xml:space="preserve">la mission </w:t>
      </w:r>
    </w:p>
    <w:p w14:paraId="238986D9">
      <w:pPr>
        <w:keepNext w:val="0"/>
        <w:keepLines w:val="0"/>
        <w:widowControl/>
        <w:suppressLineNumbers w:val="0"/>
        <w:jc w:val="both"/>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 xml:space="preserve">La présente mission s'inscrit dans le cadre du projet </w:t>
      </w:r>
      <w:r>
        <w:rPr>
          <w:rFonts w:hint="default" w:ascii="Calibri" w:hAnsi="Calibri" w:eastAsia="SimSun" w:cs="Calibri"/>
          <w:color w:val="000000"/>
          <w:kern w:val="0"/>
          <w:sz w:val="20"/>
          <w:szCs w:val="20"/>
          <w:lang w:val="fr-FR" w:eastAsia="zh-CN" w:bidi="ar"/>
        </w:rPr>
        <w:t>CG7 multi-pays Afrique du Nord: Tunisie et Algérie, financé par le Fonds Mondial de lutte contre le SIDA, la tuberculose et le paludisme</w:t>
      </w:r>
      <w:r>
        <w:rPr>
          <w:rFonts w:hint="default" w:ascii="Calibri" w:hAnsi="Calibri" w:eastAsia="SimSun" w:cs="Calibri"/>
          <w:color w:val="000000"/>
          <w:kern w:val="0"/>
          <w:sz w:val="20"/>
          <w:szCs w:val="20"/>
          <w:lang w:val="en-US" w:eastAsia="zh-CN" w:bidi="ar"/>
        </w:rPr>
        <w:t xml:space="preserve">, en collaboration avec ses partenaires </w:t>
      </w:r>
      <w:r>
        <w:rPr>
          <w:rFonts w:hint="default" w:ascii="Calibri" w:hAnsi="Calibri" w:eastAsia="SimSun" w:cs="Calibri"/>
          <w:color w:val="000000"/>
          <w:kern w:val="0"/>
          <w:sz w:val="20"/>
          <w:szCs w:val="20"/>
          <w:lang w:val="fr-FR" w:eastAsia="zh-CN" w:bidi="ar"/>
        </w:rPr>
        <w:t xml:space="preserve">Tunisiens. </w:t>
      </w:r>
      <w:r>
        <w:rPr>
          <w:rFonts w:hint="default" w:ascii="Calibri" w:hAnsi="Calibri" w:eastAsia="SimSun" w:cs="Calibri"/>
          <w:color w:val="000000"/>
          <w:kern w:val="0"/>
          <w:sz w:val="20"/>
          <w:szCs w:val="20"/>
          <w:lang w:val="en-US" w:eastAsia="zh-CN" w:bidi="ar"/>
        </w:rPr>
        <w:t xml:space="preserve">Le projet s’inscrit dans le cadre du programme d’appui </w:t>
      </w:r>
      <w:r>
        <w:rPr>
          <w:rFonts w:hint="default" w:ascii="Calibri" w:hAnsi="Calibri" w:eastAsia="SimSun" w:cs="Calibri"/>
          <w:color w:val="000000"/>
          <w:kern w:val="0"/>
          <w:sz w:val="20"/>
          <w:szCs w:val="20"/>
          <w:lang w:val="fr-FR" w:eastAsia="zh-CN" w:bidi="ar"/>
        </w:rPr>
        <w:t>PNS</w:t>
      </w:r>
      <w:r>
        <w:rPr>
          <w:rFonts w:hint="default" w:ascii="Calibri" w:hAnsi="Calibri" w:eastAsia="SimSun" w:cs="Calibri"/>
          <w:color w:val="000000"/>
          <w:kern w:val="0"/>
          <w:sz w:val="20"/>
          <w:szCs w:val="20"/>
          <w:lang w:val="en-US" w:eastAsia="zh-CN" w:bidi="ar"/>
        </w:rPr>
        <w:t xml:space="preserve"> du Ministère de la Santé Tunisien</w:t>
      </w:r>
      <w:r>
        <w:rPr>
          <w:rFonts w:hint="default" w:ascii="Calibri" w:hAnsi="Calibri" w:eastAsia="SimSun" w:cs="Calibri"/>
          <w:color w:val="000000"/>
          <w:kern w:val="0"/>
          <w:sz w:val="20"/>
          <w:szCs w:val="20"/>
          <w:lang w:val="fr-FR" w:eastAsia="zh-CN" w:bidi="ar"/>
        </w:rPr>
        <w:t xml:space="preserve"> </w:t>
      </w:r>
      <w:r>
        <w:rPr>
          <w:rFonts w:hint="default" w:ascii="Calibri" w:hAnsi="Calibri" w:eastAsia="SimSun" w:cs="Calibri"/>
          <w:color w:val="000000"/>
          <w:kern w:val="0"/>
          <w:sz w:val="20"/>
          <w:szCs w:val="20"/>
          <w:lang w:val="en-US" w:eastAsia="zh-CN" w:bidi="ar"/>
        </w:rPr>
        <w:t>en lien avec les objectifs de la nouvelle Politique Nationale de Santé 2030 (PNS),</w:t>
      </w:r>
    </w:p>
    <w:p w14:paraId="3C65D957">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78B73214">
      <w:pPr>
        <w:keepNext w:val="0"/>
        <w:keepLines w:val="0"/>
        <w:widowControl/>
        <w:suppressLineNumbers w:val="0"/>
        <w:jc w:val="both"/>
        <w:rPr>
          <w:rFonts w:hint="default" w:ascii="Calibri" w:hAnsi="Calibri" w:eastAsia="SimSun" w:cs="Calibri"/>
          <w:color w:val="000000"/>
          <w:kern w:val="0"/>
          <w:sz w:val="20"/>
          <w:szCs w:val="20"/>
          <w:lang w:val="fr-FR" w:eastAsia="zh-CN" w:bidi="ar"/>
        </w:rPr>
      </w:pPr>
      <w:r>
        <w:rPr>
          <w:rFonts w:hint="default" w:ascii="Calibri" w:hAnsi="Calibri" w:eastAsia="SimSun" w:cs="Calibri"/>
          <w:color w:val="000000"/>
          <w:kern w:val="0"/>
          <w:sz w:val="20"/>
          <w:szCs w:val="20"/>
          <w:lang w:val="en-US" w:eastAsia="zh-CN" w:bidi="ar"/>
        </w:rPr>
        <w:t xml:space="preserve">L’objectif général du projet est l’amélioration de la santé de la population, notamment celle des </w:t>
      </w:r>
      <w:r>
        <w:rPr>
          <w:rFonts w:hint="default" w:ascii="Calibri" w:hAnsi="Calibri" w:eastAsia="SimSun" w:cs="Calibri"/>
          <w:color w:val="000000"/>
          <w:kern w:val="0"/>
          <w:sz w:val="20"/>
          <w:szCs w:val="20"/>
          <w:lang w:val="fr-FR" w:eastAsia="zh-CN" w:bidi="ar"/>
        </w:rPr>
        <w:t>UDI (</w:t>
      </w:r>
      <w:r>
        <w:rPr>
          <w:rFonts w:hint="default" w:ascii="Calibri" w:hAnsi="Calibri" w:eastAsia="SimSun" w:cs="Calibri"/>
          <w:color w:val="000000"/>
          <w:kern w:val="0"/>
          <w:sz w:val="20"/>
          <w:szCs w:val="20"/>
          <w:lang w:val="en-US" w:eastAsia="zh-CN" w:bidi="ar"/>
        </w:rPr>
        <w:t>groupes les plus vulnérables</w:t>
      </w:r>
      <w:r>
        <w:rPr>
          <w:rFonts w:hint="default" w:ascii="Calibri" w:hAnsi="Calibri" w:eastAsia="SimSun" w:cs="Calibri"/>
          <w:color w:val="000000"/>
          <w:kern w:val="0"/>
          <w:sz w:val="20"/>
          <w:szCs w:val="20"/>
          <w:lang w:val="fr-FR" w:eastAsia="zh-CN" w:bidi="ar"/>
        </w:rPr>
        <w:t>)</w:t>
      </w:r>
      <w:r>
        <w:rPr>
          <w:rFonts w:hint="default" w:ascii="Calibri" w:hAnsi="Calibri" w:eastAsia="SimSun" w:cs="Calibri"/>
          <w:color w:val="000000"/>
          <w:kern w:val="0"/>
          <w:sz w:val="20"/>
          <w:szCs w:val="20"/>
          <w:lang w:val="en-US" w:eastAsia="zh-CN" w:bidi="ar"/>
        </w:rPr>
        <w:t>, à travers un meilleur accès aux services de santé de qualité</w:t>
      </w:r>
      <w:r>
        <w:rPr>
          <w:rFonts w:hint="default" w:ascii="Calibri" w:hAnsi="Calibri" w:eastAsia="SimSun" w:cs="Calibri"/>
          <w:color w:val="000000"/>
          <w:kern w:val="0"/>
          <w:sz w:val="20"/>
          <w:szCs w:val="20"/>
          <w:lang w:val="fr-FR" w:eastAsia="zh-CN" w:bidi="ar"/>
        </w:rPr>
        <w:t>.</w:t>
      </w:r>
    </w:p>
    <w:p w14:paraId="2631D219">
      <w:pPr>
        <w:keepNext w:val="0"/>
        <w:keepLines w:val="0"/>
        <w:widowControl/>
        <w:suppressLineNumbers w:val="0"/>
        <w:jc w:val="both"/>
        <w:rPr>
          <w:rFonts w:hint="default" w:ascii="Calibri" w:hAnsi="Calibri" w:eastAsia="SimSun" w:cs="Calibri"/>
          <w:color w:val="000000"/>
          <w:kern w:val="0"/>
          <w:sz w:val="20"/>
          <w:szCs w:val="20"/>
          <w:lang w:val="fr-FR" w:eastAsia="zh-CN" w:bidi="ar"/>
        </w:rPr>
      </w:pPr>
    </w:p>
    <w:p w14:paraId="2BF3437E">
      <w:pPr>
        <w:keepNext w:val="0"/>
        <w:keepLines w:val="0"/>
        <w:widowControl/>
        <w:suppressLineNumbers w:val="0"/>
        <w:jc w:val="both"/>
        <w:rPr>
          <w:rFonts w:hint="default" w:ascii="Calibri" w:hAnsi="Calibri" w:eastAsia="SimSun" w:cs="Calibri"/>
          <w:color w:val="000000"/>
          <w:kern w:val="0"/>
          <w:sz w:val="20"/>
          <w:szCs w:val="20"/>
          <w:lang w:val="fr-FR" w:eastAsia="zh-CN" w:bidi="ar"/>
        </w:rPr>
      </w:pPr>
      <w:r>
        <w:rPr>
          <w:rFonts w:hint="default" w:ascii="Calibri" w:hAnsi="Calibri" w:eastAsia="SimSun" w:cs="Calibri"/>
          <w:color w:val="000000"/>
          <w:kern w:val="0"/>
          <w:sz w:val="20"/>
          <w:szCs w:val="20"/>
          <w:lang w:val="en-US" w:eastAsia="zh-CN" w:bidi="ar"/>
        </w:rPr>
        <w:t xml:space="preserve">Afin de mieux comprendre les besoins spécifiques de cette population et d'identifier les </w:t>
      </w:r>
      <w:r>
        <w:rPr>
          <w:rFonts w:hint="default" w:ascii="Calibri" w:hAnsi="Calibri" w:eastAsia="SimSun" w:cs="Calibri"/>
          <w:color w:val="000000"/>
          <w:kern w:val="0"/>
          <w:sz w:val="20"/>
          <w:szCs w:val="20"/>
          <w:lang w:val="fr-FR" w:eastAsia="zh-CN" w:bidi="ar"/>
        </w:rPr>
        <w:t>obstacles à</w:t>
      </w:r>
      <w:r>
        <w:rPr>
          <w:rFonts w:hint="default" w:ascii="Calibri" w:hAnsi="Calibri" w:eastAsia="SimSun" w:cs="Calibri"/>
          <w:color w:val="000000"/>
          <w:kern w:val="0"/>
          <w:sz w:val="20"/>
          <w:szCs w:val="20"/>
          <w:lang w:val="en-US" w:eastAsia="zh-CN" w:bidi="ar"/>
        </w:rPr>
        <w:t xml:space="preserve"> l’accès aux services de santé existants, </w:t>
      </w:r>
      <w:r>
        <w:rPr>
          <w:rFonts w:hint="default" w:ascii="Calibri" w:hAnsi="Calibri" w:eastAsia="SimSun" w:cs="Calibri"/>
          <w:color w:val="000000"/>
          <w:kern w:val="0"/>
          <w:sz w:val="20"/>
          <w:szCs w:val="20"/>
          <w:lang w:val="fr-FR" w:eastAsia="zh-CN" w:bidi="ar"/>
        </w:rPr>
        <w:t>ATIOST</w:t>
      </w:r>
      <w:r>
        <w:rPr>
          <w:rFonts w:hint="default" w:ascii="Calibri" w:hAnsi="Calibri" w:eastAsia="SimSun" w:cs="Calibri"/>
          <w:color w:val="000000"/>
          <w:kern w:val="0"/>
          <w:sz w:val="20"/>
          <w:szCs w:val="20"/>
          <w:lang w:val="en-US" w:eastAsia="zh-CN" w:bidi="ar"/>
        </w:rPr>
        <w:t xml:space="preserve"> lance un appel à consultance pour mener une </w:t>
      </w:r>
      <w:r>
        <w:rPr>
          <w:rFonts w:hint="default" w:ascii="Calibri" w:hAnsi="Calibri" w:eastAsia="SimSun" w:cs="Calibri"/>
          <w:color w:val="000000"/>
          <w:kern w:val="0"/>
          <w:sz w:val="20"/>
          <w:szCs w:val="20"/>
          <w:lang w:val="fr-FR" w:eastAsia="zh-CN" w:bidi="ar"/>
        </w:rPr>
        <w:t>étude d’évaluation des obstacles qui entravent l’accès des usagers des SPA aux services de prise en charge du VIH, des Hépatites virales et des IST</w:t>
      </w:r>
      <w:r>
        <w:rPr>
          <w:rFonts w:hint="default" w:ascii="Calibri" w:hAnsi="Calibri" w:eastAsia="SimSun" w:cs="Calibri"/>
          <w:color w:val="000000"/>
          <w:kern w:val="0"/>
          <w:sz w:val="20"/>
          <w:szCs w:val="20"/>
          <w:lang w:val="en-US" w:eastAsia="zh-CN" w:bidi="ar"/>
        </w:rPr>
        <w:t>. Cette étude permettra de formuler des recommandations pour améliorer l'accès et la qualité des services de santé pour les jeunes et les populations clés, contribuant ainsi à renforcer leur bien-être et à réduire les disparités en matière de santé dans le pay</w:t>
      </w:r>
      <w:r>
        <w:rPr>
          <w:rFonts w:hint="default" w:ascii="Calibri" w:hAnsi="Calibri" w:eastAsia="SimSun" w:cs="Calibri"/>
          <w:color w:val="000000"/>
          <w:kern w:val="0"/>
          <w:sz w:val="20"/>
          <w:szCs w:val="20"/>
          <w:lang w:val="fr-FR" w:eastAsia="zh-CN" w:bidi="ar"/>
        </w:rPr>
        <w:t>s.</w:t>
      </w:r>
    </w:p>
    <w:p w14:paraId="4A60458E">
      <w:pPr>
        <w:keepNext w:val="0"/>
        <w:keepLines w:val="0"/>
        <w:widowControl/>
        <w:suppressLineNumbers w:val="0"/>
        <w:jc w:val="both"/>
        <w:rPr>
          <w:rFonts w:hint="default" w:ascii="Calibri" w:hAnsi="Calibri" w:eastAsia="SimSun" w:cs="Calibri"/>
          <w:color w:val="000000"/>
          <w:kern w:val="0"/>
          <w:sz w:val="20"/>
          <w:szCs w:val="20"/>
          <w:lang w:val="fr-FR" w:eastAsia="zh-CN" w:bidi="ar"/>
        </w:rPr>
      </w:pPr>
    </w:p>
    <w:p w14:paraId="2492E68A">
      <w:pPr>
        <w:keepNext w:val="0"/>
        <w:keepLines w:val="0"/>
        <w:widowControl/>
        <w:suppressLineNumbers w:val="0"/>
        <w:jc w:val="both"/>
        <w:rPr>
          <w:rFonts w:hint="default" w:ascii="Calibri" w:hAnsi="Calibri" w:eastAsia="SimSun" w:cs="Calibri"/>
          <w:color w:val="000000"/>
          <w:kern w:val="0"/>
          <w:sz w:val="20"/>
          <w:szCs w:val="20"/>
          <w:lang w:val="fr-FR" w:eastAsia="zh-CN" w:bidi="ar"/>
        </w:rPr>
      </w:pPr>
    </w:p>
    <w:p w14:paraId="24C1891C">
      <w:pPr>
        <w:keepNext w:val="0"/>
        <w:keepLines w:val="0"/>
        <w:widowControl/>
        <w:suppressLineNumbers w:val="0"/>
        <w:jc w:val="both"/>
        <w:rPr>
          <w:rFonts w:hint="default" w:ascii="Calibri" w:hAnsi="Calibri" w:eastAsia="SimSun" w:cs="Calibri"/>
          <w:color w:val="000000"/>
          <w:kern w:val="0"/>
          <w:sz w:val="20"/>
          <w:szCs w:val="20"/>
          <w:lang w:val="fr-FR" w:eastAsia="zh-CN" w:bidi="ar"/>
        </w:rPr>
      </w:pPr>
    </w:p>
    <w:p w14:paraId="3EDC5488">
      <w:pPr>
        <w:keepNext w:val="0"/>
        <w:keepLines w:val="0"/>
        <w:widowControl/>
        <w:suppressLineNumbers w:val="0"/>
        <w:jc w:val="both"/>
        <w:rPr>
          <w:rFonts w:hint="default" w:ascii="Calibri" w:hAnsi="Calibri" w:eastAsia="SimSun" w:cs="Calibri"/>
          <w:color w:val="000000"/>
          <w:kern w:val="0"/>
          <w:sz w:val="20"/>
          <w:szCs w:val="20"/>
          <w:lang w:val="fr-FR" w:eastAsia="zh-CN" w:bidi="ar"/>
        </w:rPr>
      </w:pPr>
    </w:p>
    <w:p w14:paraId="61ACB07E">
      <w:pPr>
        <w:keepNext w:val="0"/>
        <w:keepLines w:val="0"/>
        <w:widowControl/>
        <w:suppressLineNumbers w:val="0"/>
        <w:jc w:val="left"/>
        <w:rPr>
          <w:rFonts w:hint="default" w:ascii="Arial" w:hAnsi="Arial" w:eastAsia="Calibri-Bold" w:cs="Arial"/>
          <w:b/>
          <w:bCs/>
          <w:color w:val="4472C4"/>
          <w:kern w:val="0"/>
          <w:sz w:val="24"/>
          <w:szCs w:val="24"/>
          <w:lang w:val="fr-FR" w:eastAsia="zh-CN" w:bidi="ar"/>
        </w:rPr>
      </w:pPr>
      <w:r>
        <w:rPr>
          <w:rFonts w:hint="default" w:ascii="Arial" w:hAnsi="Arial" w:eastAsia="Calibri-Bold" w:cs="Arial"/>
          <w:b/>
          <w:bCs/>
          <w:color w:val="4472C4"/>
          <w:kern w:val="0"/>
          <w:sz w:val="24"/>
          <w:szCs w:val="24"/>
          <w:lang w:val="fr-FR" w:eastAsia="zh-CN" w:bidi="ar"/>
        </w:rPr>
        <w:t>3</w:t>
      </w:r>
      <w:r>
        <w:rPr>
          <w:rFonts w:hint="default" w:ascii="Arial" w:hAnsi="Arial" w:eastAsia="Calibri-Bold" w:cs="Arial"/>
          <w:b/>
          <w:bCs/>
          <w:color w:val="4472C4"/>
          <w:kern w:val="0"/>
          <w:sz w:val="24"/>
          <w:szCs w:val="24"/>
          <w:lang w:val="en-US" w:eastAsia="zh-CN" w:bidi="ar"/>
        </w:rPr>
        <w:t xml:space="preserve">. Objectifs de la Mission : </w:t>
      </w:r>
    </w:p>
    <w:p w14:paraId="5ADBFB34">
      <w:pPr>
        <w:keepNext w:val="0"/>
        <w:keepLines w:val="0"/>
        <w:widowControl/>
        <w:suppressLineNumbers w:val="0"/>
        <w:jc w:val="both"/>
        <w:rPr>
          <w:rFonts w:hint="default" w:ascii="Calibri" w:hAnsi="Calibri" w:eastAsia="SimSun" w:cs="Calibri"/>
          <w:color w:val="000000"/>
          <w:kern w:val="0"/>
          <w:sz w:val="20"/>
          <w:szCs w:val="20"/>
          <w:lang w:val="fr-FR" w:eastAsia="zh-CN" w:bidi="ar"/>
        </w:rPr>
      </w:pPr>
      <w:r>
        <w:rPr>
          <w:rFonts w:hint="default" w:ascii="Calibri" w:hAnsi="Calibri" w:eastAsia="SimSun" w:cs="Calibri"/>
          <w:color w:val="000000"/>
          <w:kern w:val="0"/>
          <w:sz w:val="20"/>
          <w:szCs w:val="20"/>
          <w:lang w:val="fr-FR" w:eastAsia="zh-CN" w:bidi="ar"/>
        </w:rPr>
        <w:t xml:space="preserve">A) </w:t>
      </w:r>
      <w:r>
        <w:rPr>
          <w:rFonts w:hint="default" w:ascii="Calibri" w:hAnsi="Calibri" w:eastAsia="SimSun" w:cs="Calibri"/>
          <w:color w:val="000000"/>
          <w:kern w:val="0"/>
          <w:sz w:val="20"/>
          <w:szCs w:val="20"/>
          <w:lang w:val="en-US" w:eastAsia="zh-CN" w:bidi="ar"/>
        </w:rPr>
        <w:t>Analyser l’offre de services</w:t>
      </w:r>
      <w:r>
        <w:rPr>
          <w:rFonts w:hint="default" w:ascii="Calibri" w:hAnsi="Calibri" w:eastAsia="SimSun" w:cs="Calibri"/>
          <w:color w:val="000000"/>
          <w:kern w:val="0"/>
          <w:sz w:val="20"/>
          <w:szCs w:val="20"/>
          <w:lang w:val="fr-FR" w:eastAsia="zh-CN" w:bidi="ar"/>
        </w:rPr>
        <w:t xml:space="preserve"> de prise en charge du VIH, des Hépatites et des IST</w:t>
      </w:r>
      <w:r>
        <w:rPr>
          <w:rFonts w:hint="default" w:ascii="Calibri" w:hAnsi="Calibri" w:eastAsia="SimSun" w:cs="Calibri"/>
          <w:color w:val="000000"/>
          <w:kern w:val="0"/>
          <w:sz w:val="20"/>
          <w:szCs w:val="20"/>
          <w:lang w:val="en-US" w:eastAsia="zh-CN" w:bidi="ar"/>
        </w:rPr>
        <w:t xml:space="preserve"> et identifier les </w:t>
      </w:r>
      <w:r>
        <w:rPr>
          <w:rFonts w:hint="default" w:ascii="Calibri" w:hAnsi="Calibri" w:eastAsia="SimSun" w:cs="Calibri"/>
          <w:color w:val="000000"/>
          <w:kern w:val="0"/>
          <w:sz w:val="20"/>
          <w:szCs w:val="20"/>
          <w:lang w:val="fr-FR" w:eastAsia="zh-CN" w:bidi="ar"/>
        </w:rPr>
        <w:t>modalités d’</w:t>
      </w:r>
      <w:r>
        <w:rPr>
          <w:rFonts w:hint="default" w:ascii="Calibri" w:hAnsi="Calibri" w:eastAsia="SimSun" w:cs="Calibri"/>
          <w:color w:val="000000"/>
          <w:kern w:val="0"/>
          <w:sz w:val="20"/>
          <w:szCs w:val="20"/>
          <w:lang w:val="en-US" w:eastAsia="zh-CN" w:bidi="ar"/>
        </w:rPr>
        <w:t xml:space="preserve">accès </w:t>
      </w:r>
      <w:r>
        <w:rPr>
          <w:rFonts w:hint="default" w:ascii="Calibri" w:hAnsi="Calibri" w:eastAsia="SimSun" w:cs="Calibri"/>
          <w:color w:val="000000"/>
          <w:kern w:val="0"/>
          <w:sz w:val="20"/>
          <w:szCs w:val="20"/>
          <w:lang w:val="fr-FR" w:eastAsia="zh-CN" w:bidi="ar"/>
        </w:rPr>
        <w:t>à ces services.</w:t>
      </w:r>
    </w:p>
    <w:p w14:paraId="7BE0C67E">
      <w:pPr>
        <w:keepNext w:val="0"/>
        <w:keepLines w:val="0"/>
        <w:widowControl/>
        <w:suppressLineNumbers w:val="0"/>
        <w:jc w:val="both"/>
        <w:rPr>
          <w:rFonts w:hint="default" w:ascii="Calibri" w:hAnsi="Calibri" w:eastAsia="SimSun" w:cs="Calibri"/>
          <w:color w:val="000000"/>
          <w:kern w:val="0"/>
          <w:sz w:val="20"/>
          <w:szCs w:val="20"/>
          <w:lang w:val="fr-FR" w:eastAsia="zh-CN" w:bidi="ar"/>
        </w:rPr>
      </w:pPr>
      <w:r>
        <w:rPr>
          <w:rFonts w:hint="default" w:ascii="Calibri" w:hAnsi="Calibri" w:eastAsia="SimSun" w:cs="Calibri"/>
          <w:color w:val="000000"/>
          <w:kern w:val="0"/>
          <w:sz w:val="20"/>
          <w:szCs w:val="20"/>
          <w:lang w:val="fr-FR" w:eastAsia="zh-CN" w:bidi="ar"/>
        </w:rPr>
        <w:t>B) Identifier le rôle de la société civile dans la prise en charge du VIH, des Hépatites et des IST.</w:t>
      </w:r>
    </w:p>
    <w:p w14:paraId="284A83E6">
      <w:pPr>
        <w:keepNext w:val="0"/>
        <w:keepLines w:val="0"/>
        <w:widowControl/>
        <w:suppressLineNumbers w:val="0"/>
        <w:jc w:val="both"/>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fr-FR" w:eastAsia="zh-CN" w:bidi="ar"/>
        </w:rPr>
        <w:t>C) Évaluer les difficultés d’accès des jeunes usant les SPA à ces services de prise en charge.</w:t>
      </w:r>
    </w:p>
    <w:p w14:paraId="34CC04C0">
      <w:pPr>
        <w:keepNext w:val="0"/>
        <w:keepLines w:val="0"/>
        <w:widowControl/>
        <w:suppressLineNumbers w:val="0"/>
        <w:jc w:val="both"/>
        <w:rPr>
          <w:rFonts w:hint="default" w:ascii="Calibri" w:hAnsi="Calibri" w:eastAsia="SimSun" w:cs="Calibri"/>
          <w:color w:val="000000"/>
          <w:kern w:val="0"/>
          <w:sz w:val="20"/>
          <w:szCs w:val="20"/>
          <w:lang w:val="fr-FR" w:eastAsia="zh-CN" w:bidi="ar"/>
        </w:rPr>
      </w:pPr>
      <w:r>
        <w:rPr>
          <w:rFonts w:hint="default" w:ascii="Calibri" w:hAnsi="Calibri" w:eastAsia="SimSun" w:cs="Calibri"/>
          <w:color w:val="000000"/>
          <w:kern w:val="0"/>
          <w:sz w:val="20"/>
          <w:szCs w:val="20"/>
          <w:lang w:val="fr-FR" w:eastAsia="zh-CN" w:bidi="ar"/>
        </w:rPr>
        <w:t>D)</w:t>
      </w:r>
      <w:r>
        <w:rPr>
          <w:rFonts w:hint="default" w:ascii="Calibri" w:hAnsi="Calibri" w:eastAsia="SimSun" w:cs="Calibri"/>
          <w:color w:val="000000"/>
          <w:kern w:val="0"/>
          <w:sz w:val="20"/>
          <w:szCs w:val="20"/>
          <w:lang w:val="en-US" w:eastAsia="zh-CN" w:bidi="ar"/>
        </w:rPr>
        <w:t xml:space="preserve"> Formuler des recommandations pour améliorer l'accès </w:t>
      </w:r>
      <w:r>
        <w:rPr>
          <w:rFonts w:hint="default" w:ascii="Calibri" w:hAnsi="Calibri" w:eastAsia="SimSun" w:cs="Calibri"/>
          <w:color w:val="000000"/>
          <w:kern w:val="0"/>
          <w:sz w:val="20"/>
          <w:szCs w:val="20"/>
          <w:lang w:val="fr-FR" w:eastAsia="zh-CN" w:bidi="ar"/>
        </w:rPr>
        <w:t>des usagers des SPA à ces</w:t>
      </w:r>
      <w:r>
        <w:rPr>
          <w:rFonts w:hint="default" w:ascii="Calibri" w:hAnsi="Calibri" w:eastAsia="SimSun" w:cs="Calibri"/>
          <w:color w:val="000000"/>
          <w:kern w:val="0"/>
          <w:sz w:val="20"/>
          <w:szCs w:val="20"/>
          <w:lang w:val="en-US" w:eastAsia="zh-CN" w:bidi="ar"/>
        </w:rPr>
        <w:t xml:space="preserve"> services de </w:t>
      </w:r>
      <w:r>
        <w:rPr>
          <w:rFonts w:hint="default" w:ascii="Calibri" w:hAnsi="Calibri" w:eastAsia="SimSun" w:cs="Calibri"/>
          <w:color w:val="000000"/>
          <w:kern w:val="0"/>
          <w:sz w:val="20"/>
          <w:szCs w:val="20"/>
          <w:lang w:val="fr-FR" w:eastAsia="zh-CN" w:bidi="ar"/>
        </w:rPr>
        <w:t>prise en charge.</w:t>
      </w:r>
    </w:p>
    <w:p w14:paraId="15B63288">
      <w:pPr>
        <w:keepNext w:val="0"/>
        <w:keepLines w:val="0"/>
        <w:widowControl/>
        <w:suppressLineNumbers w:val="0"/>
        <w:jc w:val="both"/>
        <w:rPr>
          <w:rFonts w:hint="default" w:ascii="Calibri" w:hAnsi="Calibri" w:eastAsia="SimSun" w:cs="Calibri"/>
          <w:color w:val="000000"/>
          <w:kern w:val="0"/>
          <w:sz w:val="20"/>
          <w:szCs w:val="20"/>
          <w:lang w:val="fr-FR" w:eastAsia="zh-CN" w:bidi="ar"/>
        </w:rPr>
      </w:pPr>
      <w:r>
        <w:rPr>
          <w:rFonts w:hint="default" w:ascii="Calibri" w:hAnsi="Calibri" w:eastAsia="SimSun" w:cs="Calibri"/>
          <w:color w:val="000000"/>
          <w:kern w:val="0"/>
          <w:sz w:val="20"/>
          <w:szCs w:val="20"/>
          <w:lang w:val="fr-FR" w:eastAsia="zh-CN" w:bidi="ar"/>
        </w:rPr>
        <w:t>E) Organiser et animer un séminaire de validation et établir un  rapport et des recommandations.</w:t>
      </w:r>
    </w:p>
    <w:p w14:paraId="408E32FD">
      <w:pPr>
        <w:keepNext w:val="0"/>
        <w:keepLines w:val="0"/>
        <w:widowControl/>
        <w:suppressLineNumbers w:val="0"/>
        <w:jc w:val="both"/>
        <w:rPr>
          <w:rFonts w:hint="default" w:ascii="Calibri" w:hAnsi="Calibri" w:eastAsia="SimSun" w:cs="Calibri"/>
          <w:color w:val="000000"/>
          <w:kern w:val="0"/>
          <w:sz w:val="20"/>
          <w:szCs w:val="20"/>
          <w:lang w:val="fr-FR" w:eastAsia="zh-CN" w:bidi="ar"/>
        </w:rPr>
      </w:pPr>
    </w:p>
    <w:p w14:paraId="513B93C0">
      <w:pPr>
        <w:keepNext w:val="0"/>
        <w:keepLines w:val="0"/>
        <w:widowControl/>
        <w:suppressLineNumbers w:val="0"/>
        <w:jc w:val="both"/>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 xml:space="preserve"> </w:t>
      </w:r>
    </w:p>
    <w:p w14:paraId="1C321A9A">
      <w:pPr>
        <w:keepNext w:val="0"/>
        <w:keepLines w:val="0"/>
        <w:widowControl/>
        <w:suppressLineNumbers w:val="0"/>
        <w:jc w:val="left"/>
        <w:rPr>
          <w:rFonts w:hint="default" w:ascii="Arial" w:hAnsi="Arial" w:eastAsia="Calibri-Bold" w:cs="Arial"/>
          <w:b/>
          <w:bCs/>
          <w:color w:val="4472C4"/>
          <w:kern w:val="0"/>
          <w:sz w:val="24"/>
          <w:szCs w:val="24"/>
          <w:lang w:val="en-US" w:eastAsia="zh-CN" w:bidi="ar"/>
        </w:rPr>
      </w:pPr>
      <w:r>
        <w:rPr>
          <w:rFonts w:hint="default" w:ascii="Arial" w:hAnsi="Arial" w:eastAsia="Calibri-Bold" w:cs="Arial"/>
          <w:b/>
          <w:bCs/>
          <w:color w:val="4472C4"/>
          <w:kern w:val="0"/>
          <w:sz w:val="24"/>
          <w:szCs w:val="24"/>
          <w:lang w:val="fr-FR" w:eastAsia="zh-CN" w:bidi="ar"/>
        </w:rPr>
        <w:t>4</w:t>
      </w:r>
      <w:r>
        <w:rPr>
          <w:rFonts w:hint="default" w:ascii="Arial" w:hAnsi="Arial" w:eastAsia="Calibri-Bold" w:cs="Arial"/>
          <w:b/>
          <w:bCs/>
          <w:color w:val="4472C4"/>
          <w:kern w:val="0"/>
          <w:sz w:val="24"/>
          <w:szCs w:val="24"/>
          <w:lang w:val="en-US" w:eastAsia="zh-CN" w:bidi="ar"/>
        </w:rPr>
        <w:t xml:space="preserve">. Livrables Attendus : </w:t>
      </w:r>
    </w:p>
    <w:p w14:paraId="62B16CFD">
      <w:pPr>
        <w:keepNext w:val="0"/>
        <w:keepLines w:val="0"/>
        <w:widowControl/>
        <w:suppressLineNumbers w:val="0"/>
        <w:jc w:val="left"/>
        <w:rPr>
          <w:sz w:val="20"/>
          <w:szCs w:val="20"/>
        </w:rPr>
      </w:pPr>
      <w:r>
        <w:rPr>
          <w:rFonts w:ascii="Calibri" w:hAnsi="Calibri" w:eastAsia="SimSun" w:cs="Calibri"/>
          <w:color w:val="000000"/>
          <w:kern w:val="0"/>
          <w:sz w:val="20"/>
          <w:szCs w:val="20"/>
          <w:lang w:val="en-US" w:eastAsia="zh-CN" w:bidi="ar"/>
        </w:rPr>
        <w:t xml:space="preserve">Les livrables attendus sont au nombre de </w:t>
      </w:r>
      <w:r>
        <w:rPr>
          <w:rFonts w:hint="default" w:ascii="Calibri" w:hAnsi="Calibri" w:eastAsia="SimSun" w:cs="Calibri"/>
          <w:color w:val="000000"/>
          <w:kern w:val="0"/>
          <w:sz w:val="20"/>
          <w:szCs w:val="20"/>
          <w:lang w:val="fr-FR" w:eastAsia="zh-CN" w:bidi="ar"/>
        </w:rPr>
        <w:t>six</w:t>
      </w:r>
      <w:r>
        <w:rPr>
          <w:rFonts w:ascii="Calibri" w:hAnsi="Calibri" w:eastAsia="SimSun" w:cs="Calibri"/>
          <w:color w:val="000000"/>
          <w:kern w:val="0"/>
          <w:sz w:val="20"/>
          <w:szCs w:val="20"/>
          <w:lang w:val="en-US" w:eastAsia="zh-CN" w:bidi="ar"/>
        </w:rPr>
        <w:t xml:space="preserve"> (0</w:t>
      </w:r>
      <w:r>
        <w:rPr>
          <w:rFonts w:hint="default" w:ascii="Calibri" w:hAnsi="Calibri" w:eastAsia="SimSun" w:cs="Calibri"/>
          <w:color w:val="000000"/>
          <w:kern w:val="0"/>
          <w:sz w:val="20"/>
          <w:szCs w:val="20"/>
          <w:lang w:val="fr-FR" w:eastAsia="zh-CN" w:bidi="ar"/>
        </w:rPr>
        <w:t>6</w:t>
      </w:r>
      <w:r>
        <w:rPr>
          <w:rFonts w:ascii="Calibri" w:hAnsi="Calibri" w:eastAsia="SimSun" w:cs="Calibri"/>
          <w:color w:val="000000"/>
          <w:kern w:val="0"/>
          <w:sz w:val="20"/>
          <w:szCs w:val="20"/>
          <w:lang w:val="en-US" w:eastAsia="zh-CN" w:bidi="ar"/>
        </w:rPr>
        <w:t xml:space="preserve">) : </w:t>
      </w:r>
    </w:p>
    <w:p w14:paraId="26E5C52D">
      <w:pPr>
        <w:keepNext w:val="0"/>
        <w:keepLines w:val="0"/>
        <w:widowControl/>
        <w:numPr>
          <w:ilvl w:val="0"/>
          <w:numId w:val="1"/>
        </w:numPr>
        <w:suppressLineNumbers w:val="0"/>
        <w:jc w:val="left"/>
        <w:rPr>
          <w:rFonts w:hint="default"/>
          <w:sz w:val="20"/>
          <w:szCs w:val="20"/>
          <w:lang w:val="fr-FR"/>
        </w:rPr>
      </w:pPr>
      <w:r>
        <w:rPr>
          <w:rFonts w:hint="default" w:ascii="Calibri" w:hAnsi="Calibri" w:eastAsia="SimSun" w:cs="Calibri"/>
          <w:color w:val="000000"/>
          <w:kern w:val="0"/>
          <w:sz w:val="20"/>
          <w:szCs w:val="20"/>
          <w:lang w:val="en-US" w:eastAsia="zh-CN" w:bidi="ar"/>
        </w:rPr>
        <w:t xml:space="preserve">Note méthodologique détaillée </w:t>
      </w:r>
      <w:r>
        <w:rPr>
          <w:rFonts w:hint="default" w:ascii="Calibri" w:hAnsi="Calibri" w:eastAsia="SimSun" w:cs="Calibri"/>
          <w:color w:val="000000"/>
          <w:kern w:val="0"/>
          <w:sz w:val="20"/>
          <w:szCs w:val="20"/>
          <w:lang w:val="fr-FR" w:eastAsia="zh-CN" w:bidi="ar"/>
        </w:rPr>
        <w:t xml:space="preserve">et </w:t>
      </w:r>
      <w:r>
        <w:rPr>
          <w:rFonts w:hint="default" w:ascii="Calibri" w:hAnsi="Calibri" w:eastAsia="SimSun" w:cs="Calibri"/>
          <w:color w:val="000000"/>
          <w:kern w:val="0"/>
          <w:sz w:val="20"/>
          <w:szCs w:val="20"/>
          <w:lang w:val="en-US" w:eastAsia="zh-CN" w:bidi="ar"/>
        </w:rPr>
        <w:t xml:space="preserve">un calendrier de la mission </w:t>
      </w:r>
      <w:r>
        <w:rPr>
          <w:rFonts w:hint="default" w:ascii="Calibri" w:hAnsi="Calibri" w:eastAsia="SimSun" w:cs="Calibri"/>
          <w:color w:val="000000"/>
          <w:kern w:val="0"/>
          <w:sz w:val="20"/>
          <w:szCs w:val="20"/>
          <w:lang w:val="fr-FR" w:eastAsia="zh-CN" w:bidi="ar"/>
        </w:rPr>
        <w:t>suite à une réunion de cadrage avec ATIOST.</w:t>
      </w:r>
    </w:p>
    <w:p w14:paraId="03E2F9CB">
      <w:pPr>
        <w:keepNext w:val="0"/>
        <w:keepLines w:val="0"/>
        <w:widowControl/>
        <w:numPr>
          <w:ilvl w:val="0"/>
          <w:numId w:val="1"/>
        </w:numPr>
        <w:suppressLineNumbers w:val="0"/>
        <w:jc w:val="left"/>
        <w:rPr>
          <w:rFonts w:hint="default"/>
          <w:sz w:val="20"/>
          <w:szCs w:val="20"/>
          <w:lang w:val="fr-FR"/>
        </w:rPr>
      </w:pPr>
      <w:r>
        <w:rPr>
          <w:rFonts w:hint="default" w:ascii="Calibri" w:hAnsi="Calibri" w:eastAsia="SimSun" w:cs="Calibri"/>
          <w:color w:val="000000"/>
          <w:kern w:val="0"/>
          <w:sz w:val="20"/>
          <w:szCs w:val="20"/>
          <w:lang w:val="fr-FR" w:eastAsia="zh-CN" w:bidi="ar"/>
        </w:rPr>
        <w:t>Revue bibliographique.</w:t>
      </w:r>
    </w:p>
    <w:p w14:paraId="1BAE1CFC">
      <w:pPr>
        <w:keepNext w:val="0"/>
        <w:keepLines w:val="0"/>
        <w:widowControl/>
        <w:suppressLineNumbers w:val="0"/>
        <w:jc w:val="left"/>
        <w:rPr>
          <w:rFonts w:hint="default" w:ascii="Calibri" w:hAnsi="Calibri" w:eastAsia="SimSun" w:cs="Calibri"/>
          <w:color w:val="000000"/>
          <w:kern w:val="0"/>
          <w:sz w:val="20"/>
          <w:szCs w:val="20"/>
          <w:lang w:val="fr-FR" w:eastAsia="zh-CN" w:bidi="ar"/>
        </w:rPr>
      </w:pPr>
      <w:r>
        <w:rPr>
          <w:rFonts w:hint="default" w:ascii="Calibri" w:hAnsi="Calibri" w:eastAsia="SimSun" w:cs="Calibri"/>
          <w:color w:val="000000"/>
          <w:kern w:val="0"/>
          <w:sz w:val="20"/>
          <w:szCs w:val="20"/>
          <w:lang w:val="fr-FR" w:eastAsia="zh-CN" w:bidi="ar"/>
        </w:rPr>
        <w:t>3</w:t>
      </w:r>
      <w:r>
        <w:rPr>
          <w:rFonts w:hint="default" w:ascii="Calibri" w:hAnsi="Calibri" w:eastAsia="SimSun" w:cs="Calibri"/>
          <w:color w:val="000000"/>
          <w:kern w:val="0"/>
          <w:sz w:val="20"/>
          <w:szCs w:val="20"/>
          <w:lang w:val="en-US" w:eastAsia="zh-CN" w:bidi="ar"/>
        </w:rPr>
        <w:t xml:space="preserve">) Rapport de présentation de l’offre de services </w:t>
      </w:r>
      <w:r>
        <w:rPr>
          <w:rFonts w:hint="default" w:ascii="Calibri" w:hAnsi="Calibri" w:eastAsia="SimSun" w:cs="Calibri"/>
          <w:color w:val="000000"/>
          <w:kern w:val="0"/>
          <w:sz w:val="20"/>
          <w:szCs w:val="20"/>
          <w:lang w:val="fr-FR" w:eastAsia="zh-CN" w:bidi="ar"/>
        </w:rPr>
        <w:t xml:space="preserve">de prise en charge du VIH des hépatites et des IST </w:t>
      </w:r>
      <w:r>
        <w:rPr>
          <w:rFonts w:hint="default" w:ascii="Calibri" w:hAnsi="Calibri" w:eastAsia="SimSun" w:cs="Calibri"/>
          <w:color w:val="000000"/>
          <w:kern w:val="0"/>
          <w:sz w:val="20"/>
          <w:szCs w:val="20"/>
          <w:lang w:val="en-US" w:eastAsia="zh-CN" w:bidi="ar"/>
        </w:rPr>
        <w:t>et d</w:t>
      </w:r>
      <w:r>
        <w:rPr>
          <w:rFonts w:hint="default" w:ascii="Calibri" w:hAnsi="Calibri" w:eastAsia="SimSun" w:cs="Calibri"/>
          <w:color w:val="000000"/>
          <w:kern w:val="0"/>
          <w:sz w:val="20"/>
          <w:szCs w:val="20"/>
          <w:lang w:val="fr-FR" w:eastAsia="zh-CN" w:bidi="ar"/>
        </w:rPr>
        <w:t>es modalités d’accès</w:t>
      </w:r>
    </w:p>
    <w:p w14:paraId="2A797B9E">
      <w:pPr>
        <w:keepNext w:val="0"/>
        <w:keepLines w:val="0"/>
        <w:widowControl/>
        <w:suppressLineNumbers w:val="0"/>
        <w:jc w:val="left"/>
        <w:rPr>
          <w:sz w:val="20"/>
          <w:szCs w:val="20"/>
        </w:rPr>
      </w:pPr>
      <w:r>
        <w:rPr>
          <w:rFonts w:hint="default" w:ascii="Calibri" w:hAnsi="Calibri" w:eastAsia="SimSun" w:cs="Calibri"/>
          <w:color w:val="000000"/>
          <w:kern w:val="0"/>
          <w:sz w:val="20"/>
          <w:szCs w:val="20"/>
          <w:lang w:val="fr-FR" w:eastAsia="zh-CN" w:bidi="ar"/>
        </w:rPr>
        <w:t>4) Rapport synthétique des focus groupes et des entretiens individuels avec les décideurs, les professionnels de santé et les usagers des SPA sur l</w:t>
      </w:r>
      <w:r>
        <w:rPr>
          <w:rFonts w:hint="default" w:ascii="Calibri" w:hAnsi="Calibri" w:eastAsia="SimSun" w:cs="Calibri"/>
          <w:color w:val="000000"/>
          <w:kern w:val="0"/>
          <w:sz w:val="20"/>
          <w:szCs w:val="20"/>
          <w:lang w:val="en-US" w:eastAsia="zh-CN" w:bidi="ar"/>
        </w:rPr>
        <w:t xml:space="preserve">es barrières d’accès à ces services </w:t>
      </w:r>
    </w:p>
    <w:p w14:paraId="5346B8EE">
      <w:pPr>
        <w:keepNext w:val="0"/>
        <w:keepLines w:val="0"/>
        <w:widowControl/>
        <w:suppressLineNumbers w:val="0"/>
        <w:jc w:val="both"/>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fr-FR" w:eastAsia="zh-CN" w:bidi="ar"/>
        </w:rPr>
        <w:t xml:space="preserve">5) </w:t>
      </w:r>
      <w:r>
        <w:rPr>
          <w:rFonts w:hint="default" w:ascii="Calibri" w:hAnsi="Calibri" w:eastAsia="SimSun" w:cs="Calibri"/>
          <w:color w:val="000000"/>
          <w:kern w:val="0"/>
          <w:sz w:val="20"/>
          <w:szCs w:val="20"/>
          <w:lang w:val="en-US" w:eastAsia="zh-CN" w:bidi="ar"/>
        </w:rPr>
        <w:t xml:space="preserve">Rapport de recommandations pour améliorer l'accès </w:t>
      </w:r>
      <w:r>
        <w:rPr>
          <w:rFonts w:hint="default" w:ascii="Calibri" w:hAnsi="Calibri" w:eastAsia="SimSun" w:cs="Calibri"/>
          <w:color w:val="000000"/>
          <w:kern w:val="0"/>
          <w:sz w:val="20"/>
          <w:szCs w:val="20"/>
          <w:lang w:val="fr-FR" w:eastAsia="zh-CN" w:bidi="ar"/>
        </w:rPr>
        <w:t>aux</w:t>
      </w:r>
      <w:r>
        <w:rPr>
          <w:rFonts w:hint="default" w:ascii="Calibri" w:hAnsi="Calibri" w:eastAsia="SimSun" w:cs="Calibri"/>
          <w:color w:val="000000"/>
          <w:kern w:val="0"/>
          <w:sz w:val="20"/>
          <w:szCs w:val="20"/>
          <w:lang w:val="en-US" w:eastAsia="zh-CN" w:bidi="ar"/>
        </w:rPr>
        <w:t xml:space="preserve"> services de </w:t>
      </w:r>
      <w:r>
        <w:rPr>
          <w:rFonts w:hint="default" w:ascii="Calibri" w:hAnsi="Calibri" w:eastAsia="SimSun" w:cs="Calibri"/>
          <w:color w:val="000000"/>
          <w:kern w:val="0"/>
          <w:sz w:val="20"/>
          <w:szCs w:val="20"/>
          <w:lang w:val="fr-FR" w:eastAsia="zh-CN" w:bidi="ar"/>
        </w:rPr>
        <w:t>prise en charge</w:t>
      </w:r>
      <w:r>
        <w:rPr>
          <w:rFonts w:hint="default" w:ascii="Calibri" w:hAnsi="Calibri" w:eastAsia="SimSun" w:cs="Calibri"/>
          <w:color w:val="000000"/>
          <w:kern w:val="0"/>
          <w:sz w:val="20"/>
          <w:szCs w:val="20"/>
          <w:lang w:val="en-US" w:eastAsia="zh-CN" w:bidi="ar"/>
        </w:rPr>
        <w:t xml:space="preserve">  comprenant des mesures concrètes à prendre par les parties prenantes concernées. </w:t>
      </w:r>
    </w:p>
    <w:p w14:paraId="56636FE2">
      <w:pPr>
        <w:keepNext w:val="0"/>
        <w:keepLines w:val="0"/>
        <w:widowControl/>
        <w:suppressLineNumbers w:val="0"/>
        <w:jc w:val="both"/>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fr-FR" w:eastAsia="zh-CN" w:bidi="ar"/>
        </w:rPr>
        <w:t>6) Rapport du séminaire de validation de l’étude.</w:t>
      </w:r>
      <w:r>
        <w:rPr>
          <w:rFonts w:hint="default" w:ascii="Calibri" w:hAnsi="Calibri" w:eastAsia="SimSun" w:cs="Calibri"/>
          <w:color w:val="000000"/>
          <w:kern w:val="0"/>
          <w:sz w:val="20"/>
          <w:szCs w:val="20"/>
          <w:lang w:val="en-US" w:eastAsia="zh-CN" w:bidi="ar"/>
        </w:rPr>
        <w:t xml:space="preserve"> </w:t>
      </w:r>
    </w:p>
    <w:p w14:paraId="5F579750">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764315CA">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3DEAF4E6">
      <w:pPr>
        <w:keepNext w:val="0"/>
        <w:keepLines w:val="0"/>
        <w:widowControl/>
        <w:suppressLineNumbers w:val="0"/>
        <w:jc w:val="left"/>
        <w:rPr>
          <w:rFonts w:hint="default" w:ascii="Arial" w:hAnsi="Arial" w:eastAsia="Calibri-Bold" w:cs="Arial"/>
          <w:b/>
          <w:bCs/>
          <w:color w:val="4472C4"/>
          <w:kern w:val="0"/>
          <w:sz w:val="24"/>
          <w:szCs w:val="24"/>
          <w:lang w:val="en-US" w:eastAsia="zh-CN" w:bidi="ar"/>
        </w:rPr>
      </w:pPr>
      <w:r>
        <w:rPr>
          <w:rFonts w:hint="default" w:ascii="Arial" w:hAnsi="Arial" w:eastAsia="Calibri-Bold" w:cs="Arial"/>
          <w:b/>
          <w:bCs/>
          <w:color w:val="4472C4"/>
          <w:kern w:val="0"/>
          <w:sz w:val="24"/>
          <w:szCs w:val="24"/>
          <w:lang w:val="fr-FR" w:eastAsia="zh-CN" w:bidi="ar"/>
        </w:rPr>
        <w:t>5</w:t>
      </w:r>
      <w:r>
        <w:rPr>
          <w:rFonts w:hint="default" w:ascii="Arial" w:hAnsi="Arial" w:eastAsia="Calibri-Bold" w:cs="Arial"/>
          <w:b/>
          <w:bCs/>
          <w:color w:val="4472C4"/>
          <w:kern w:val="0"/>
          <w:sz w:val="24"/>
          <w:szCs w:val="24"/>
          <w:lang w:val="en-US" w:eastAsia="zh-CN" w:bidi="ar"/>
        </w:rPr>
        <w:t xml:space="preserve">. Profil de la/du Consultant.e : </w:t>
      </w:r>
    </w:p>
    <w:p w14:paraId="6D6574CB">
      <w:pPr>
        <w:keepNext w:val="0"/>
        <w:keepLines w:val="0"/>
        <w:widowControl/>
        <w:suppressLineNumbers w:val="0"/>
        <w:jc w:val="both"/>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Expérience professionnelle avérée dans le domaine de la santé sexuelle et reproductive</w:t>
      </w:r>
      <w:r>
        <w:rPr>
          <w:rFonts w:hint="default" w:ascii="Calibri" w:hAnsi="Calibri" w:eastAsia="SimSun" w:cs="Calibri"/>
          <w:color w:val="000000"/>
          <w:kern w:val="0"/>
          <w:sz w:val="20"/>
          <w:szCs w:val="20"/>
          <w:lang w:val="fr-FR" w:eastAsia="zh-CN" w:bidi="ar"/>
        </w:rPr>
        <w:t xml:space="preserve"> et la toxicomanie</w:t>
      </w:r>
      <w:r>
        <w:rPr>
          <w:rFonts w:hint="default" w:ascii="Calibri" w:hAnsi="Calibri" w:eastAsia="SimSun" w:cs="Calibri"/>
          <w:color w:val="000000"/>
          <w:kern w:val="0"/>
          <w:sz w:val="20"/>
          <w:szCs w:val="20"/>
          <w:lang w:val="en-US" w:eastAsia="zh-CN" w:bidi="ar"/>
        </w:rPr>
        <w:t xml:space="preserve">, avec une expertise spécifique dans les enjeux liés à la santé des jeunes et des populations clés en Tunisie ou dans des contextes similaires. </w:t>
      </w:r>
    </w:p>
    <w:p w14:paraId="26D57B6E">
      <w:pPr>
        <w:keepNext w:val="0"/>
        <w:keepLines w:val="0"/>
        <w:widowControl/>
        <w:suppressLineNumbers w:val="0"/>
        <w:jc w:val="both"/>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 Connaissance approfondie des politiques et des programmes de santé sexuelle et reproductive </w:t>
      </w:r>
      <w:r>
        <w:rPr>
          <w:rFonts w:hint="default" w:ascii="Calibri" w:hAnsi="Calibri" w:eastAsia="SimSun" w:cs="Calibri"/>
          <w:color w:val="000000"/>
          <w:kern w:val="0"/>
          <w:sz w:val="20"/>
          <w:szCs w:val="20"/>
          <w:lang w:val="fr-FR" w:eastAsia="zh-CN" w:bidi="ar"/>
        </w:rPr>
        <w:t xml:space="preserve">et la toxicomanie </w:t>
      </w:r>
      <w:r>
        <w:rPr>
          <w:rFonts w:hint="default" w:ascii="Calibri" w:hAnsi="Calibri" w:eastAsia="SimSun" w:cs="Calibri"/>
          <w:color w:val="000000"/>
          <w:kern w:val="0"/>
          <w:sz w:val="20"/>
          <w:szCs w:val="20"/>
          <w:lang w:val="en-US" w:eastAsia="zh-CN" w:bidi="ar"/>
        </w:rPr>
        <w:t xml:space="preserve">en Tunisie, ainsi que des défis et des opportunités associés à ces politiques. </w:t>
      </w:r>
    </w:p>
    <w:p w14:paraId="6EFFE3F9">
      <w:pPr>
        <w:keepNext w:val="0"/>
        <w:keepLines w:val="0"/>
        <w:widowControl/>
        <w:suppressLineNumbers w:val="0"/>
        <w:jc w:val="both"/>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 Compétences démontrées en recherche qualitative et quantitative, y compris la collecte, l'analyse et l'interprétation des données. </w:t>
      </w:r>
    </w:p>
    <w:p w14:paraId="30897DDC">
      <w:pPr>
        <w:keepNext w:val="0"/>
        <w:keepLines w:val="0"/>
        <w:widowControl/>
        <w:suppressLineNumbers w:val="0"/>
        <w:jc w:val="both"/>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 Capacité à travailler de manière autonome et en équipe, avec une aptitude démontrée à collaborer avec une diversité de parties prenantes, y compris les jeunes, les prestataires de soins de santé et les décideurs politiques. </w:t>
      </w:r>
    </w:p>
    <w:p w14:paraId="517E4033">
      <w:pPr>
        <w:keepNext w:val="0"/>
        <w:keepLines w:val="0"/>
        <w:widowControl/>
        <w:suppressLineNumbers w:val="0"/>
        <w:jc w:val="both"/>
        <w:rPr>
          <w:rFonts w:hint="default" w:ascii="Calibri" w:hAnsi="Calibri" w:eastAsia="SimSun" w:cs="Calibri"/>
          <w:color w:val="000000"/>
          <w:kern w:val="0"/>
          <w:sz w:val="20"/>
          <w:szCs w:val="20"/>
          <w:lang w:val="fr-FR" w:eastAsia="zh-CN" w:bidi="ar"/>
        </w:rPr>
      </w:pPr>
      <w:r>
        <w:rPr>
          <w:rFonts w:hint="default" w:ascii="Calibri" w:hAnsi="Calibri" w:eastAsia="SimSun" w:cs="Calibri"/>
          <w:color w:val="000000"/>
          <w:kern w:val="0"/>
          <w:sz w:val="20"/>
          <w:szCs w:val="20"/>
          <w:lang w:val="en-US" w:eastAsia="zh-CN" w:bidi="ar"/>
        </w:rPr>
        <w:t>• Excellentes compétences en communication écrite et verbale en français, en arabe, avec la capacité de rédiger des rapports clairs et concis</w:t>
      </w:r>
      <w:r>
        <w:rPr>
          <w:rFonts w:hint="default" w:ascii="Calibri" w:hAnsi="Calibri" w:eastAsia="SimSun" w:cs="Calibri"/>
          <w:color w:val="000000"/>
          <w:kern w:val="0"/>
          <w:sz w:val="20"/>
          <w:szCs w:val="20"/>
          <w:lang w:val="fr-FR" w:eastAsia="zh-CN" w:bidi="ar"/>
        </w:rPr>
        <w:t>.</w:t>
      </w:r>
    </w:p>
    <w:p w14:paraId="10EEBD63">
      <w:pPr>
        <w:keepNext w:val="0"/>
        <w:keepLines w:val="0"/>
        <w:widowControl/>
        <w:suppressLineNumbers w:val="0"/>
        <w:jc w:val="both"/>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 xml:space="preserve">• Formation académique pertinente en sciences sociales, de préférence au niveau master ou équivalent. </w:t>
      </w:r>
    </w:p>
    <w:p w14:paraId="6427AEDD">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2DC0D61B">
      <w:pPr>
        <w:keepNext w:val="0"/>
        <w:keepLines w:val="0"/>
        <w:widowControl/>
        <w:suppressLineNumbers w:val="0"/>
        <w:jc w:val="left"/>
        <w:rPr>
          <w:rFonts w:hint="default" w:ascii="Calibri" w:hAnsi="Calibri" w:eastAsia="SimSun" w:cs="Calibri"/>
          <w:color w:val="000000"/>
          <w:kern w:val="0"/>
          <w:sz w:val="16"/>
          <w:szCs w:val="16"/>
          <w:lang w:val="en-US" w:eastAsia="zh-CN" w:bidi="ar"/>
        </w:rPr>
      </w:pPr>
    </w:p>
    <w:p w14:paraId="6DB07B15">
      <w:pPr>
        <w:keepNext w:val="0"/>
        <w:keepLines w:val="0"/>
        <w:widowControl/>
        <w:suppressLineNumbers w:val="0"/>
        <w:jc w:val="left"/>
      </w:pPr>
      <w:r>
        <w:rPr>
          <w:rFonts w:hint="default" w:ascii="Arial" w:hAnsi="Arial" w:eastAsia="Calibri-Bold" w:cs="Arial"/>
          <w:b/>
          <w:bCs/>
          <w:color w:val="4472C4"/>
          <w:kern w:val="0"/>
          <w:sz w:val="24"/>
          <w:szCs w:val="24"/>
          <w:lang w:val="fr-FR" w:eastAsia="zh-CN" w:bidi="ar"/>
        </w:rPr>
        <w:t>6</w:t>
      </w:r>
      <w:r>
        <w:rPr>
          <w:rFonts w:hint="default" w:ascii="Arial" w:hAnsi="Arial" w:eastAsia="Calibri-Bold" w:cs="Arial"/>
          <w:b/>
          <w:bCs/>
          <w:color w:val="4472C4"/>
          <w:kern w:val="0"/>
          <w:sz w:val="24"/>
          <w:szCs w:val="24"/>
          <w:lang w:val="en-US" w:eastAsia="zh-CN" w:bidi="ar"/>
        </w:rPr>
        <w:t xml:space="preserve">. Durée et Calendrier d'Exécution : </w:t>
      </w:r>
    </w:p>
    <w:p w14:paraId="5F16C905">
      <w:pPr>
        <w:keepNext w:val="0"/>
        <w:keepLines w:val="0"/>
        <w:widowControl/>
        <w:suppressLineNumbers w:val="0"/>
        <w:jc w:val="left"/>
        <w:rPr>
          <w:sz w:val="20"/>
          <w:szCs w:val="20"/>
        </w:rPr>
      </w:pPr>
      <w:r>
        <w:rPr>
          <w:rFonts w:hint="default" w:ascii="Calibri" w:hAnsi="Calibri" w:eastAsia="SimSun" w:cs="Calibri"/>
          <w:color w:val="000000"/>
          <w:kern w:val="0"/>
          <w:sz w:val="20"/>
          <w:szCs w:val="20"/>
          <w:lang w:val="fr-FR" w:eastAsia="zh-CN" w:bidi="ar"/>
        </w:rPr>
        <w:t>La mission est estimée à 25 jours hommes qui s’étale sur</w:t>
      </w:r>
      <w:r>
        <w:rPr>
          <w:rFonts w:hint="default" w:ascii="Calibri" w:hAnsi="Calibri" w:eastAsia="SimSun" w:cs="Calibri"/>
          <w:color w:val="000000"/>
          <w:kern w:val="0"/>
          <w:sz w:val="20"/>
          <w:szCs w:val="20"/>
          <w:lang w:val="en-US" w:eastAsia="zh-CN" w:bidi="ar"/>
        </w:rPr>
        <w:t xml:space="preserve"> une durée de </w:t>
      </w:r>
      <w:r>
        <w:rPr>
          <w:rFonts w:hint="default" w:ascii="Calibri" w:hAnsi="Calibri" w:eastAsia="SimSun" w:cs="Calibri"/>
          <w:color w:val="000000"/>
          <w:kern w:val="0"/>
          <w:sz w:val="20"/>
          <w:szCs w:val="20"/>
          <w:lang w:val="fr-FR" w:eastAsia="zh-CN" w:bidi="ar"/>
        </w:rPr>
        <w:t>2</w:t>
      </w:r>
      <w:r>
        <w:rPr>
          <w:rFonts w:hint="default" w:ascii="Calibri" w:hAnsi="Calibri" w:eastAsia="SimSun" w:cs="Calibri"/>
          <w:color w:val="000000"/>
          <w:kern w:val="0"/>
          <w:sz w:val="20"/>
          <w:szCs w:val="20"/>
          <w:lang w:val="en-US" w:eastAsia="zh-CN" w:bidi="ar"/>
        </w:rPr>
        <w:t xml:space="preserve"> mois, </w:t>
      </w:r>
      <w:r>
        <w:rPr>
          <w:rFonts w:hint="default" w:ascii="Calibri" w:hAnsi="Calibri" w:eastAsia="SimSun" w:cs="Calibri"/>
          <w:color w:val="000000"/>
          <w:kern w:val="0"/>
          <w:sz w:val="20"/>
          <w:szCs w:val="20"/>
          <w:lang w:val="fr-FR" w:eastAsia="zh-CN" w:bidi="ar"/>
        </w:rPr>
        <w:t>de</w:t>
      </w:r>
      <w:r>
        <w:rPr>
          <w:rFonts w:hint="default" w:ascii="Calibri" w:hAnsi="Calibri" w:eastAsia="SimSun" w:cs="Calibri"/>
          <w:color w:val="000000"/>
          <w:kern w:val="0"/>
          <w:sz w:val="20"/>
          <w:szCs w:val="20"/>
          <w:lang w:val="en-US" w:eastAsia="zh-CN" w:bidi="ar"/>
        </w:rPr>
        <w:t xml:space="preserve"> </w:t>
      </w:r>
      <w:r>
        <w:rPr>
          <w:rFonts w:hint="default" w:ascii="Calibri" w:hAnsi="Calibri" w:eastAsia="SimSun" w:cs="Calibri"/>
          <w:color w:val="000000"/>
          <w:kern w:val="0"/>
          <w:sz w:val="20"/>
          <w:szCs w:val="20"/>
          <w:lang w:val="fr-FR" w:eastAsia="zh-CN" w:bidi="ar"/>
        </w:rPr>
        <w:t>nove</w:t>
      </w:r>
      <w:r>
        <w:rPr>
          <w:rFonts w:hint="default" w:ascii="Calibri" w:hAnsi="Calibri" w:eastAsia="SimSun" w:cs="Calibri"/>
          <w:color w:val="000000"/>
          <w:kern w:val="0"/>
          <w:sz w:val="20"/>
          <w:szCs w:val="20"/>
          <w:lang w:val="en-US" w:eastAsia="zh-CN" w:bidi="ar"/>
        </w:rPr>
        <w:t xml:space="preserve">mbre </w:t>
      </w:r>
      <w:r>
        <w:rPr>
          <w:rFonts w:hint="default" w:ascii="Calibri" w:hAnsi="Calibri" w:eastAsia="SimSun" w:cs="Calibri"/>
          <w:color w:val="000000"/>
          <w:kern w:val="0"/>
          <w:sz w:val="20"/>
          <w:szCs w:val="20"/>
          <w:lang w:val="fr-FR" w:eastAsia="zh-CN" w:bidi="ar"/>
        </w:rPr>
        <w:t xml:space="preserve"> à décembre </w:t>
      </w:r>
      <w:r>
        <w:rPr>
          <w:rFonts w:hint="default" w:ascii="Calibri" w:hAnsi="Calibri" w:eastAsia="SimSun" w:cs="Calibri"/>
          <w:color w:val="000000"/>
          <w:kern w:val="0"/>
          <w:sz w:val="20"/>
          <w:szCs w:val="20"/>
          <w:lang w:val="en-US" w:eastAsia="zh-CN" w:bidi="ar"/>
        </w:rPr>
        <w:t xml:space="preserve">2024. </w:t>
      </w:r>
    </w:p>
    <w:p w14:paraId="6CEF11C4">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6C44EAB2">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3B8127DD">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79D8443B">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543B2019">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3B02E1FA">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63CDA090">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3446981A">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30543F99">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7290E0DE">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149AB213">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6CB9D716">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324CB3B6">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10E59922">
      <w:pPr>
        <w:keepNext w:val="0"/>
        <w:keepLines w:val="0"/>
        <w:widowControl/>
        <w:suppressLineNumbers w:val="0"/>
        <w:jc w:val="both"/>
        <w:rPr>
          <w:rFonts w:hint="default" w:ascii="Calibri" w:hAnsi="Calibri" w:eastAsia="SimSun" w:cs="Calibri"/>
          <w:color w:val="000000"/>
          <w:kern w:val="0"/>
          <w:sz w:val="20"/>
          <w:szCs w:val="20"/>
          <w:lang w:val="en-US" w:eastAsia="zh-CN" w:bidi="ar"/>
        </w:rPr>
      </w:pPr>
    </w:p>
    <w:p w14:paraId="6C4CD4B0">
      <w:pPr>
        <w:keepNext w:val="0"/>
        <w:keepLines w:val="0"/>
        <w:widowControl/>
        <w:suppressLineNumbers w:val="0"/>
        <w:jc w:val="left"/>
      </w:pPr>
      <w:r>
        <w:rPr>
          <w:rFonts w:hint="default" w:ascii="Arial" w:hAnsi="Arial" w:eastAsia="Calibri-Bold" w:cs="Arial"/>
          <w:b/>
          <w:bCs/>
          <w:color w:val="4472C4"/>
          <w:kern w:val="0"/>
          <w:sz w:val="24"/>
          <w:szCs w:val="24"/>
          <w:lang w:val="en-US" w:eastAsia="zh-CN" w:bidi="ar"/>
        </w:rPr>
        <w:t xml:space="preserve">7. Comment postuler </w:t>
      </w:r>
    </w:p>
    <w:p w14:paraId="1C2ED549">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Les candidat(e)s intéressé(e)s sont prié(e)s de bien vouloir adresser un dossier de soumission </w:t>
      </w:r>
    </w:p>
    <w:p w14:paraId="16B835EE">
      <w:pPr>
        <w:keepNext w:val="0"/>
        <w:keepLines w:val="0"/>
        <w:widowControl/>
        <w:suppressLineNumbers w:val="0"/>
        <w:ind w:left="100" w:hanging="100" w:hangingChars="50"/>
        <w:jc w:val="left"/>
        <w:rPr>
          <w:rFonts w:hint="default" w:ascii="Calibri" w:hAnsi="Calibri" w:eastAsia="Calibri-Bold" w:cs="Calibri"/>
          <w:b/>
          <w:bCs/>
          <w:color w:val="000000"/>
          <w:kern w:val="0"/>
          <w:sz w:val="20"/>
          <w:szCs w:val="20"/>
          <w:lang w:val="fr-FR" w:eastAsia="zh-CN" w:bidi="ar"/>
        </w:rPr>
      </w:pPr>
      <w:r>
        <w:rPr>
          <w:rFonts w:hint="default" w:ascii="Calibri" w:hAnsi="Calibri" w:eastAsia="SimSun" w:cs="Calibri"/>
          <w:color w:val="000000"/>
          <w:kern w:val="0"/>
          <w:sz w:val="20"/>
          <w:szCs w:val="20"/>
          <w:lang w:val="en-US" w:eastAsia="zh-CN" w:bidi="ar"/>
        </w:rPr>
        <w:t>avant</w:t>
      </w:r>
      <w:r>
        <w:rPr>
          <w:rFonts w:hint="default" w:ascii="Calibri" w:hAnsi="Calibri" w:eastAsia="SimSun" w:cs="Calibri"/>
          <w:color w:val="000000"/>
          <w:kern w:val="0"/>
          <w:sz w:val="20"/>
          <w:szCs w:val="20"/>
          <w:lang w:val="en-US" w:eastAsia="zh-CN" w:bidi="ar"/>
          <w14:textFill>
            <w14:gradFill>
              <w14:gsLst>
                <w14:gs w14:pos="0">
                  <w14:srgbClr w14:val="012D86"/>
                </w14:gs>
                <w14:gs w14:pos="100000">
                  <w14:srgbClr w14:val="0E2557"/>
                </w14:gs>
              </w14:gsLst>
              <w14:lin w14:scaled="0"/>
            </w14:gradFill>
          </w14:textFill>
        </w:rPr>
        <w:t xml:space="preserve"> </w:t>
      </w:r>
      <w:r>
        <w:rPr>
          <w:rFonts w:hint="default" w:ascii="Calibri" w:hAnsi="Calibri" w:eastAsia="Calibri-Bold" w:cs="Calibri"/>
          <w:b/>
          <w:bCs/>
          <w:color w:val="000000"/>
          <w:kern w:val="0"/>
          <w:sz w:val="22"/>
          <w:szCs w:val="22"/>
          <w:lang w:val="en-US" w:eastAsia="zh-CN" w:bidi="ar"/>
          <w14:textFill>
            <w14:gradFill>
              <w14:gsLst>
                <w14:gs w14:pos="0">
                  <w14:srgbClr w14:val="012D86"/>
                </w14:gs>
                <w14:gs w14:pos="100000">
                  <w14:srgbClr w14:val="0E2557"/>
                </w14:gs>
              </w14:gsLst>
              <w14:lin w14:scaled="0"/>
            </w14:gradFill>
          </w14:textFill>
        </w:rPr>
        <w:t>l</w:t>
      </w:r>
      <w:r>
        <w:rPr>
          <w:rFonts w:hint="default" w:ascii="Calibri" w:hAnsi="Calibri" w:eastAsia="Calibri-Bold" w:cs="Calibri"/>
          <w:b/>
          <w:bCs/>
          <w:color w:val="FF0000"/>
          <w:kern w:val="0"/>
          <w:sz w:val="22"/>
          <w:szCs w:val="22"/>
          <w:lang w:val="fr-FR" w:eastAsia="zh-CN" w:bidi="ar"/>
          <w14:textFill>
            <w14:gradFill>
              <w14:gsLst>
                <w14:gs w14:pos="0">
                  <w14:srgbClr w14:val="012D86"/>
                </w14:gs>
                <w14:gs w14:pos="100000">
                  <w14:srgbClr w14:val="0E2557"/>
                </w14:gs>
              </w14:gsLst>
              <w14:lin w14:scaled="0"/>
            </w14:gradFill>
          </w14:textFill>
        </w:rPr>
        <w:t xml:space="preserve">e 25 </w:t>
      </w:r>
      <w:bookmarkStart w:id="0" w:name="_GoBack"/>
      <w:bookmarkEnd w:id="0"/>
      <w:r>
        <w:rPr>
          <w:rFonts w:hint="default" w:ascii="Calibri" w:hAnsi="Calibri" w:eastAsia="Calibri-Bold" w:cs="Calibri"/>
          <w:b/>
          <w:bCs/>
          <w:color w:val="FF0000"/>
          <w:kern w:val="0"/>
          <w:sz w:val="22"/>
          <w:szCs w:val="22"/>
          <w:lang w:val="fr-FR" w:eastAsia="zh-CN" w:bidi="ar"/>
          <w14:textFill>
            <w14:gradFill>
              <w14:gsLst>
                <w14:gs w14:pos="0">
                  <w14:srgbClr w14:val="012D86"/>
                </w14:gs>
                <w14:gs w14:pos="100000">
                  <w14:srgbClr w14:val="0E2557"/>
                </w14:gs>
              </w14:gsLst>
              <w14:lin w14:scaled="0"/>
            </w14:gradFill>
          </w14:textFill>
        </w:rPr>
        <w:t>octobre 2024</w:t>
      </w:r>
      <w:r>
        <w:rPr>
          <w:rFonts w:hint="default" w:ascii="Calibri" w:hAnsi="Calibri" w:eastAsia="Calibri-Bold" w:cs="Calibri"/>
          <w:b/>
          <w:bCs/>
          <w:color w:val="000000"/>
          <w:kern w:val="0"/>
          <w:sz w:val="20"/>
          <w:szCs w:val="20"/>
          <w:lang w:val="fr-FR" w:eastAsia="zh-CN" w:bidi="ar"/>
        </w:rPr>
        <w:t xml:space="preserve">  soit :</w:t>
      </w:r>
    </w:p>
    <w:p w14:paraId="1C2BD1BE">
      <w:pPr>
        <w:keepNext w:val="0"/>
        <w:keepLines w:val="0"/>
        <w:widowControl/>
        <w:suppressLineNumbers w:val="0"/>
        <w:ind w:left="100" w:hanging="100" w:hangingChars="50"/>
        <w:jc w:val="left"/>
        <w:rPr>
          <w:rFonts w:hint="default" w:ascii="Calibri" w:hAnsi="Calibri" w:eastAsia="SimSun" w:cs="Calibri"/>
          <w:color w:val="000000"/>
          <w:kern w:val="0"/>
          <w:sz w:val="20"/>
          <w:szCs w:val="20"/>
          <w:lang w:val="fr-FR" w:eastAsia="zh-CN" w:bidi="ar"/>
        </w:rPr>
      </w:pPr>
      <w:r>
        <w:rPr>
          <w:rFonts w:hint="default" w:ascii="Calibri" w:hAnsi="Calibri" w:eastAsia="Calibri-Bold" w:cs="Calibri"/>
          <w:b/>
          <w:bCs/>
          <w:color w:val="000000"/>
          <w:kern w:val="0"/>
          <w:sz w:val="20"/>
          <w:szCs w:val="20"/>
          <w:lang w:val="fr-FR" w:eastAsia="zh-CN" w:bidi="ar"/>
        </w:rPr>
        <w:t>-</w:t>
      </w:r>
      <w:r>
        <w:rPr>
          <w:rFonts w:hint="default" w:ascii="Calibri" w:hAnsi="Calibri" w:eastAsia="SimSun" w:cs="Calibri"/>
          <w:color w:val="000000"/>
          <w:kern w:val="0"/>
          <w:sz w:val="20"/>
          <w:szCs w:val="20"/>
          <w:lang w:val="en-US" w:eastAsia="zh-CN" w:bidi="ar"/>
        </w:rPr>
        <w:t xml:space="preserve"> l’adresse e-mail suivante : </w:t>
      </w:r>
      <w:r>
        <w:rPr>
          <w:rFonts w:hint="default" w:ascii="Calibri" w:hAnsi="Calibri" w:eastAsia="SimSun" w:cs="Calibri"/>
          <w:color w:val="000000"/>
          <w:kern w:val="0"/>
          <w:sz w:val="20"/>
          <w:szCs w:val="20"/>
          <w:lang w:val="fr-FR" w:eastAsia="zh-CN" w:bidi="ar"/>
        </w:rPr>
        <w:fldChar w:fldCharType="begin"/>
      </w:r>
      <w:r>
        <w:rPr>
          <w:rFonts w:hint="default" w:ascii="Calibri" w:hAnsi="Calibri" w:eastAsia="SimSun" w:cs="Calibri"/>
          <w:color w:val="000000"/>
          <w:kern w:val="0"/>
          <w:sz w:val="20"/>
          <w:szCs w:val="20"/>
          <w:lang w:val="fr-FR" w:eastAsia="zh-CN" w:bidi="ar"/>
        </w:rPr>
        <w:instrText xml:space="preserve"> HYPERLINK "mailto:atiost.sida.toxicomanie@gmail.com" </w:instrText>
      </w:r>
      <w:r>
        <w:rPr>
          <w:rFonts w:hint="default" w:ascii="Calibri" w:hAnsi="Calibri" w:eastAsia="SimSun" w:cs="Calibri"/>
          <w:color w:val="000000"/>
          <w:kern w:val="0"/>
          <w:sz w:val="20"/>
          <w:szCs w:val="20"/>
          <w:lang w:val="fr-FR" w:eastAsia="zh-CN" w:bidi="ar"/>
        </w:rPr>
        <w:fldChar w:fldCharType="separate"/>
      </w:r>
      <w:r>
        <w:rPr>
          <w:rStyle w:val="3"/>
          <w:rFonts w:hint="default" w:ascii="Calibri" w:hAnsi="Calibri" w:eastAsia="SimSun" w:cs="Calibri"/>
          <w:kern w:val="0"/>
          <w:sz w:val="20"/>
          <w:szCs w:val="20"/>
          <w:lang w:val="fr-FR" w:eastAsia="zh-CN" w:bidi="ar"/>
        </w:rPr>
        <w:t>atiost.sida.toxicomanie@gmail.com</w:t>
      </w:r>
      <w:r>
        <w:rPr>
          <w:rFonts w:hint="default" w:ascii="Calibri" w:hAnsi="Calibri" w:eastAsia="SimSun" w:cs="Calibri"/>
          <w:color w:val="000000"/>
          <w:kern w:val="0"/>
          <w:sz w:val="20"/>
          <w:szCs w:val="20"/>
          <w:lang w:val="fr-FR" w:eastAsia="zh-CN" w:bidi="ar"/>
        </w:rPr>
        <w:fldChar w:fldCharType="end"/>
      </w:r>
    </w:p>
    <w:p w14:paraId="2A135210">
      <w:pPr>
        <w:keepNext w:val="0"/>
        <w:keepLines w:val="0"/>
        <w:widowControl/>
        <w:suppressLineNumbers w:val="0"/>
        <w:ind w:left="100" w:hanging="100" w:hangingChars="50"/>
        <w:jc w:val="left"/>
        <w:rPr>
          <w:rFonts w:hint="default" w:ascii="Calibri" w:hAnsi="Calibri" w:eastAsia="SimSun" w:cs="Calibri"/>
          <w:color w:val="000000"/>
          <w:kern w:val="0"/>
          <w:sz w:val="20"/>
          <w:szCs w:val="20"/>
          <w:lang w:val="fr-FR" w:eastAsia="zh-CN" w:bidi="ar"/>
        </w:rPr>
      </w:pPr>
      <w:r>
        <w:rPr>
          <w:rFonts w:hint="default" w:ascii="Calibri" w:hAnsi="Calibri" w:eastAsia="SimSun" w:cs="Calibri"/>
          <w:color w:val="000000"/>
          <w:kern w:val="0"/>
          <w:sz w:val="20"/>
          <w:szCs w:val="20"/>
          <w:lang w:val="fr-FR" w:eastAsia="zh-CN" w:bidi="ar"/>
        </w:rPr>
        <w:t xml:space="preserve"> -Et ou au bureau d’ordre de l’association ATIOST adresse: 43 Avenue Hédi Saidi 1005 Tunis.</w:t>
      </w:r>
    </w:p>
    <w:p w14:paraId="19533E1D">
      <w:pPr>
        <w:keepNext w:val="0"/>
        <w:keepLines w:val="0"/>
        <w:widowControl/>
        <w:suppressLineNumbers w:val="0"/>
        <w:ind w:left="100" w:hanging="100" w:hangingChars="5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en</w:t>
      </w:r>
      <w:r>
        <w:rPr>
          <w:rFonts w:hint="default" w:ascii="Calibri" w:hAnsi="Calibri" w:eastAsia="SimSun" w:cs="Calibri"/>
          <w:color w:val="000000"/>
          <w:kern w:val="0"/>
          <w:sz w:val="20"/>
          <w:szCs w:val="20"/>
          <w:lang w:val="fr-FR" w:eastAsia="zh-CN" w:bidi="ar"/>
        </w:rPr>
        <w:t xml:space="preserve"> </w:t>
      </w:r>
      <w:r>
        <w:rPr>
          <w:rFonts w:hint="default" w:ascii="Calibri" w:hAnsi="Calibri" w:eastAsia="SimSun" w:cs="Calibri"/>
          <w:color w:val="000000"/>
          <w:kern w:val="0"/>
          <w:sz w:val="20"/>
          <w:szCs w:val="20"/>
          <w:lang w:val="en-US" w:eastAsia="zh-CN" w:bidi="ar"/>
        </w:rPr>
        <w:t>précisant</w:t>
      </w:r>
      <w:r>
        <w:rPr>
          <w:rFonts w:hint="default" w:ascii="Calibri" w:hAnsi="Calibri" w:eastAsia="SimSun" w:cs="Calibri"/>
          <w:color w:val="000000"/>
          <w:kern w:val="0"/>
          <w:sz w:val="20"/>
          <w:szCs w:val="20"/>
          <w:lang w:val="fr-FR" w:eastAsia="zh-CN" w:bidi="ar"/>
        </w:rPr>
        <w:t xml:space="preserve"> l’objet </w:t>
      </w:r>
      <w:r>
        <w:rPr>
          <w:rFonts w:hint="default" w:ascii="Calibri" w:hAnsi="Calibri" w:eastAsia="SimSun" w:cs="Calibri"/>
          <w:color w:val="000000"/>
          <w:kern w:val="0"/>
          <w:sz w:val="20"/>
          <w:szCs w:val="20"/>
          <w:lang w:val="en-US" w:eastAsia="zh-CN" w:bidi="ar"/>
        </w:rPr>
        <w:t xml:space="preserve"> « </w:t>
      </w:r>
      <w:r>
        <w:rPr>
          <w:rFonts w:hint="default" w:ascii="Calibri" w:hAnsi="Calibri" w:eastAsia="Calibri-Bold" w:cs="Calibri"/>
          <w:b/>
          <w:bCs/>
          <w:color w:val="000000"/>
          <w:kern w:val="0"/>
          <w:sz w:val="20"/>
          <w:szCs w:val="20"/>
          <w:lang w:val="fr-FR" w:eastAsia="zh-CN" w:bidi="ar"/>
        </w:rPr>
        <w:t xml:space="preserve">TUN-VIH </w:t>
      </w:r>
      <w:r>
        <w:rPr>
          <w:rFonts w:hint="default" w:ascii="Calibri" w:hAnsi="Calibri" w:eastAsia="Calibri-Bold" w:cs="Calibri"/>
          <w:b/>
          <w:bCs/>
          <w:color w:val="000000"/>
          <w:kern w:val="0"/>
          <w:sz w:val="20"/>
          <w:szCs w:val="20"/>
          <w:lang w:val="en-US" w:eastAsia="zh-CN" w:bidi="ar"/>
        </w:rPr>
        <w:t xml:space="preserve">- Etude </w:t>
      </w:r>
      <w:r>
        <w:rPr>
          <w:rFonts w:hint="default" w:ascii="Calibri" w:hAnsi="Calibri" w:eastAsia="Calibri-Bold" w:cs="Calibri"/>
          <w:b/>
          <w:bCs/>
          <w:color w:val="000000"/>
          <w:kern w:val="0"/>
          <w:sz w:val="20"/>
          <w:szCs w:val="20"/>
          <w:lang w:val="fr-FR" w:eastAsia="zh-CN" w:bidi="ar"/>
        </w:rPr>
        <w:t>pour évaluation des obstacles</w:t>
      </w:r>
      <w:r>
        <w:rPr>
          <w:rFonts w:hint="default" w:ascii="Calibri" w:hAnsi="Calibri" w:eastAsia="Calibri-Bold" w:cs="Calibri"/>
          <w:b/>
          <w:bCs/>
          <w:color w:val="000000"/>
          <w:kern w:val="0"/>
          <w:sz w:val="20"/>
          <w:szCs w:val="20"/>
          <w:lang w:val="en-US" w:eastAsia="zh-CN" w:bidi="ar"/>
        </w:rPr>
        <w:t xml:space="preserve"> </w:t>
      </w:r>
      <w:r>
        <w:rPr>
          <w:rFonts w:hint="default" w:ascii="Calibri" w:hAnsi="Calibri" w:eastAsia="SimSun" w:cs="Calibri"/>
          <w:color w:val="000000"/>
          <w:kern w:val="0"/>
          <w:sz w:val="20"/>
          <w:szCs w:val="20"/>
          <w:lang w:val="en-US" w:eastAsia="zh-CN" w:bidi="ar"/>
        </w:rPr>
        <w:t xml:space="preserve">»  </w:t>
      </w:r>
    </w:p>
    <w:p w14:paraId="3210FBDC">
      <w:pPr>
        <w:keepNext w:val="0"/>
        <w:keepLines w:val="0"/>
        <w:widowControl/>
        <w:suppressLineNumbers w:val="0"/>
        <w:ind w:left="100" w:hanging="100" w:hangingChars="50"/>
        <w:jc w:val="left"/>
        <w:rPr>
          <w:rFonts w:hint="default" w:ascii="Calibri" w:hAnsi="Calibri" w:eastAsia="SimSun" w:cs="Calibri"/>
          <w:color w:val="000000"/>
          <w:kern w:val="0"/>
          <w:sz w:val="20"/>
          <w:szCs w:val="20"/>
          <w:lang w:val="fr-FR" w:eastAsia="zh-CN" w:bidi="ar"/>
        </w:rPr>
      </w:pPr>
    </w:p>
    <w:p w14:paraId="0315BCF8">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Le dossier de soumission doit comprendre : </w:t>
      </w:r>
    </w:p>
    <w:p w14:paraId="34094C30">
      <w:pPr>
        <w:keepNext w:val="0"/>
        <w:keepLines w:val="0"/>
        <w:widowControl/>
        <w:numPr>
          <w:ilvl w:val="0"/>
          <w:numId w:val="2"/>
        </w:numPr>
        <w:suppressLineNumbers w:val="0"/>
        <w:jc w:val="left"/>
        <w:rPr>
          <w:rFonts w:hint="default" w:ascii="Calibri" w:hAnsi="Calibri" w:eastAsia="Calibri-BoldItalic" w:cs="Calibri"/>
          <w:b/>
          <w:bCs/>
          <w:i/>
          <w:iCs/>
          <w:color w:val="000000"/>
          <w:kern w:val="0"/>
          <w:sz w:val="20"/>
          <w:szCs w:val="20"/>
          <w:lang w:val="en-US" w:eastAsia="zh-CN" w:bidi="ar"/>
        </w:rPr>
      </w:pPr>
      <w:r>
        <w:rPr>
          <w:rFonts w:hint="default" w:ascii="Calibri" w:hAnsi="Calibri" w:eastAsia="Calibri-BoldItalic" w:cs="Calibri"/>
          <w:b/>
          <w:bCs/>
          <w:i/>
          <w:iCs/>
          <w:color w:val="000000"/>
          <w:kern w:val="0"/>
          <w:sz w:val="20"/>
          <w:szCs w:val="20"/>
          <w:lang w:val="en-US" w:eastAsia="zh-CN" w:bidi="ar"/>
        </w:rPr>
        <w:t>Une offre technique comprenant :</w:t>
      </w:r>
    </w:p>
    <w:p w14:paraId="7788F258">
      <w:pPr>
        <w:keepNext w:val="0"/>
        <w:keepLines w:val="0"/>
        <w:widowControl/>
        <w:suppressLineNumbers w:val="0"/>
        <w:jc w:val="both"/>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Une note méthodologique avec le nombre de jours nécessaires à l’accomplissement de la mission (nombre de jours travaillés), l</w:t>
      </w:r>
      <w:r>
        <w:rPr>
          <w:rFonts w:hint="default" w:ascii="Calibri" w:hAnsi="Calibri" w:eastAsia="SimSun" w:cs="Calibri"/>
          <w:color w:val="000000"/>
          <w:kern w:val="0"/>
          <w:sz w:val="20"/>
          <w:szCs w:val="20"/>
          <w:lang w:val="fr-FR" w:eastAsia="zh-CN" w:bidi="ar"/>
        </w:rPr>
        <w:t>’échéancier de réalisation des différentes étapes de l’étude.</w:t>
      </w:r>
      <w:r>
        <w:rPr>
          <w:rFonts w:hint="default" w:ascii="Calibri" w:hAnsi="Calibri" w:eastAsia="SimSun" w:cs="Calibri"/>
          <w:color w:val="000000"/>
          <w:kern w:val="0"/>
          <w:sz w:val="20"/>
          <w:szCs w:val="20"/>
          <w:lang w:val="en-US" w:eastAsia="zh-CN" w:bidi="ar"/>
        </w:rPr>
        <w:t xml:space="preserve"> </w:t>
      </w:r>
    </w:p>
    <w:p w14:paraId="6CEFD8E9">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 Un CV actualisé. </w:t>
      </w:r>
    </w:p>
    <w:p w14:paraId="7F168817">
      <w:pPr>
        <w:keepNext w:val="0"/>
        <w:keepLines w:val="0"/>
        <w:widowControl/>
        <w:numPr>
          <w:ilvl w:val="0"/>
          <w:numId w:val="2"/>
        </w:numPr>
        <w:suppressLineNumbers w:val="0"/>
        <w:ind w:left="0" w:leftChars="0" w:firstLine="0" w:firstLineChars="0"/>
        <w:jc w:val="left"/>
        <w:rPr>
          <w:rFonts w:hint="default" w:ascii="Calibri" w:hAnsi="Calibri" w:cs="Calibri"/>
          <w:sz w:val="20"/>
          <w:szCs w:val="20"/>
        </w:rPr>
      </w:pPr>
      <w:r>
        <w:rPr>
          <w:rFonts w:hint="default" w:ascii="Calibri" w:hAnsi="Calibri" w:eastAsia="Calibri-BoldItalic" w:cs="Calibri"/>
          <w:b/>
          <w:bCs/>
          <w:i/>
          <w:iCs/>
          <w:color w:val="000000"/>
          <w:kern w:val="0"/>
          <w:sz w:val="20"/>
          <w:szCs w:val="20"/>
          <w:lang w:val="en-US" w:eastAsia="zh-CN" w:bidi="ar"/>
        </w:rPr>
        <w:t xml:space="preserve">Une offre financière comprenant : </w:t>
      </w:r>
    </w:p>
    <w:p w14:paraId="2443C4A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Une proposition financière détaillée prenant également en compte les coûts liés à l’organisation de la mission (frais de déplacements, perdiem, logement</w:t>
      </w:r>
      <w:r>
        <w:rPr>
          <w:rFonts w:hint="default" w:ascii="Calibri" w:hAnsi="Calibri" w:eastAsia="SimSun" w:cs="Calibri"/>
          <w:color w:val="000000"/>
          <w:kern w:val="0"/>
          <w:sz w:val="20"/>
          <w:szCs w:val="20"/>
          <w:lang w:val="fr-FR" w:eastAsia="zh-CN" w:bidi="ar"/>
        </w:rPr>
        <w:t>, questionnaire, entretiens, focus groupes,</w:t>
      </w:r>
      <w:r>
        <w:rPr>
          <w:rFonts w:hint="default" w:ascii="Calibri" w:hAnsi="Calibri" w:eastAsia="SimSun" w:cs="Calibri"/>
          <w:color w:val="000000"/>
          <w:kern w:val="0"/>
          <w:sz w:val="20"/>
          <w:szCs w:val="20"/>
          <w:lang w:val="en-US" w:eastAsia="zh-CN" w:bidi="ar"/>
        </w:rPr>
        <w:t xml:space="preserve"> etc.). Votre offre doit contenir le montant HTVA*. </w:t>
      </w:r>
    </w:p>
    <w:p w14:paraId="0CC376C5">
      <w:pPr>
        <w:keepNext w:val="0"/>
        <w:keepLines w:val="0"/>
        <w:widowControl/>
        <w:suppressLineNumbers w:val="0"/>
        <w:jc w:val="left"/>
        <w:rPr>
          <w:rFonts w:hint="default" w:ascii="Calibri" w:hAnsi="Calibri" w:eastAsia="Calibri-Italic" w:cs="Calibri"/>
          <w:i/>
          <w:iCs/>
          <w:color w:val="000000"/>
          <w:kern w:val="0"/>
          <w:sz w:val="20"/>
          <w:szCs w:val="20"/>
          <w:lang w:val="en-US" w:eastAsia="zh-CN" w:bidi="ar"/>
        </w:rPr>
      </w:pPr>
      <w:r>
        <w:rPr>
          <w:rFonts w:hint="default" w:ascii="Calibri" w:hAnsi="Calibri" w:eastAsia="Calibri-Italic" w:cs="Calibri"/>
          <w:i/>
          <w:iCs/>
          <w:color w:val="000000"/>
          <w:kern w:val="0"/>
          <w:sz w:val="20"/>
          <w:szCs w:val="20"/>
          <w:lang w:val="en-US" w:eastAsia="zh-CN" w:bidi="ar"/>
        </w:rPr>
        <w:t xml:space="preserve">*Le projet  est exonéré de TVA. </w:t>
      </w:r>
    </w:p>
    <w:p w14:paraId="1312B834">
      <w:pPr>
        <w:keepNext w:val="0"/>
        <w:keepLines w:val="0"/>
        <w:widowControl/>
        <w:suppressLineNumbers w:val="0"/>
        <w:jc w:val="left"/>
        <w:rPr>
          <w:rFonts w:hint="default" w:ascii="Calibri" w:hAnsi="Calibri" w:eastAsia="Calibri-Italic" w:cs="Calibri"/>
          <w:i/>
          <w:iCs/>
          <w:color w:val="000000"/>
          <w:kern w:val="0"/>
          <w:sz w:val="20"/>
          <w:szCs w:val="20"/>
          <w:lang w:val="en-US" w:eastAsia="zh-CN" w:bidi="ar"/>
        </w:rPr>
      </w:pPr>
    </w:p>
    <w:p w14:paraId="727896CF">
      <w:pPr>
        <w:keepNext w:val="0"/>
        <w:keepLines w:val="0"/>
        <w:widowControl/>
        <w:suppressLineNumbers w:val="0"/>
        <w:jc w:val="left"/>
        <w:rPr>
          <w:rFonts w:hint="default" w:ascii="Calibri" w:hAnsi="Calibri" w:eastAsia="Calibri-Italic" w:cs="Calibri"/>
          <w:i/>
          <w:iCs/>
          <w:color w:val="000000"/>
          <w:kern w:val="0"/>
          <w:sz w:val="20"/>
          <w:szCs w:val="20"/>
          <w:lang w:val="en-US" w:eastAsia="zh-CN" w:bidi="ar"/>
        </w:rPr>
      </w:pPr>
    </w:p>
    <w:p w14:paraId="19C9E124">
      <w:pPr>
        <w:keepNext w:val="0"/>
        <w:keepLines w:val="0"/>
        <w:widowControl/>
        <w:suppressLineNumbers w:val="0"/>
        <w:jc w:val="left"/>
        <w:rPr>
          <w:rFonts w:hint="default" w:ascii="Calibri" w:hAnsi="Calibri" w:eastAsia="Calibri-Italic" w:cs="Calibri"/>
          <w:i/>
          <w:iCs/>
          <w:color w:val="000000"/>
          <w:kern w:val="0"/>
          <w:sz w:val="20"/>
          <w:szCs w:val="20"/>
          <w:lang w:val="en-US" w:eastAsia="zh-CN" w:bidi="ar"/>
        </w:rPr>
      </w:pPr>
    </w:p>
    <w:p w14:paraId="47059B28">
      <w:pPr>
        <w:jc w:val="both"/>
        <w:rPr>
          <w:rFonts w:hint="default" w:ascii="Calibri" w:hAnsi="Calibri" w:eastAsia="SimSun" w:cs="Calibri"/>
          <w:color w:val="000000"/>
          <w:kern w:val="0"/>
          <w:sz w:val="20"/>
          <w:szCs w:val="20"/>
          <w:lang w:val="en-US" w:eastAsia="zh-CN" w:bidi="ar"/>
        </w:rPr>
      </w:pPr>
    </w:p>
    <w:p w14:paraId="66F8209F">
      <w:pPr>
        <w:keepNext w:val="0"/>
        <w:keepLines w:val="0"/>
        <w:widowControl/>
        <w:numPr>
          <w:ilvl w:val="0"/>
          <w:numId w:val="3"/>
        </w:numPr>
        <w:suppressLineNumbers w:val="0"/>
        <w:jc w:val="left"/>
        <w:rPr>
          <w:rFonts w:hint="default" w:ascii="Arial" w:hAnsi="Arial" w:eastAsia="Calibri-Bold" w:cs="Arial"/>
          <w:b/>
          <w:bCs/>
          <w:color w:val="4472C4"/>
          <w:kern w:val="0"/>
          <w:sz w:val="24"/>
          <w:szCs w:val="24"/>
          <w:lang w:val="en-US" w:eastAsia="zh-CN" w:bidi="ar"/>
        </w:rPr>
      </w:pPr>
      <w:r>
        <w:rPr>
          <w:rFonts w:hint="default" w:ascii="Arial" w:hAnsi="Arial" w:eastAsia="Calibri-Bold" w:cs="Arial"/>
          <w:b/>
          <w:bCs/>
          <w:color w:val="4472C4"/>
          <w:kern w:val="0"/>
          <w:sz w:val="24"/>
          <w:szCs w:val="24"/>
          <w:lang w:val="en-US" w:eastAsia="zh-CN" w:bidi="ar"/>
        </w:rPr>
        <w:t xml:space="preserve">Critères de sélection de l’expert.e </w:t>
      </w:r>
    </w:p>
    <w:p w14:paraId="78A62BC7">
      <w:pPr>
        <w:pStyle w:val="4"/>
        <w:keepNext w:val="0"/>
        <w:keepLines w:val="0"/>
        <w:widowControl/>
        <w:suppressLineNumbers w:val="0"/>
        <w:spacing w:before="0" w:beforeAutospacing="0" w:after="360" w:afterAutospacing="0"/>
        <w:ind w:left="0" w:right="0"/>
        <w:rPr>
          <w:rFonts w:hint="default" w:ascii="Calibri Light" w:hAnsi="Calibri Light" w:eastAsia="Futura Md" w:cs="Calibri Light"/>
          <w:sz w:val="20"/>
          <w:szCs w:val="20"/>
        </w:rPr>
      </w:pPr>
      <w:r>
        <w:rPr>
          <w:rFonts w:hint="default" w:ascii="Calibri Light" w:hAnsi="Calibri Light" w:eastAsia="Futura Md" w:cs="Calibri Light"/>
          <w:sz w:val="20"/>
          <w:szCs w:val="20"/>
          <w:shd w:val="clear" w:fill="FFFFFF"/>
        </w:rPr>
        <w:t>L’offre de l’expert.e sera évaluée suivant les critères suivants :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041"/>
        <w:gridCol w:w="392"/>
        <w:gridCol w:w="448"/>
      </w:tblGrid>
      <w:tr w14:paraId="5E4AA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A63DD3A">
            <w:pPr>
              <w:rPr>
                <w:rFonts w:hint="default" w:ascii="Calibri Light" w:hAnsi="Calibri Light" w:cs="Calibri Light"/>
                <w:sz w:val="20"/>
                <w:szCs w:val="20"/>
              </w:rPr>
            </w:pPr>
          </w:p>
        </w:tc>
        <w:tc>
          <w:tcPr>
            <w:tcW w:w="0" w:type="auto"/>
            <w:shd w:val="clear" w:color="auto" w:fill="auto"/>
            <w:tcMar>
              <w:top w:w="0" w:type="dxa"/>
              <w:left w:w="0" w:type="dxa"/>
              <w:bottom w:w="0" w:type="dxa"/>
              <w:right w:w="0" w:type="dxa"/>
            </w:tcMar>
            <w:vAlign w:val="center"/>
          </w:tcPr>
          <w:p w14:paraId="4E89FA1E">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Futura Md" w:cs="Calibri Light"/>
                <w:kern w:val="0"/>
                <w:sz w:val="20"/>
                <w:szCs w:val="20"/>
                <w:lang w:val="en-US" w:eastAsia="zh-CN" w:bidi="ar"/>
              </w:rPr>
              <w:t>Max </w:t>
            </w:r>
          </w:p>
        </w:tc>
        <w:tc>
          <w:tcPr>
            <w:tcW w:w="0" w:type="auto"/>
            <w:shd w:val="clear" w:color="auto" w:fill="auto"/>
            <w:tcMar>
              <w:top w:w="0" w:type="dxa"/>
              <w:left w:w="0" w:type="dxa"/>
              <w:bottom w:w="0" w:type="dxa"/>
              <w:right w:w="0" w:type="dxa"/>
            </w:tcMar>
            <w:vAlign w:val="center"/>
          </w:tcPr>
          <w:p w14:paraId="0F1A3BB8">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Futura Md" w:cs="Calibri Light"/>
                <w:kern w:val="0"/>
                <w:sz w:val="20"/>
                <w:szCs w:val="20"/>
                <w:lang w:val="en-US" w:eastAsia="zh-CN" w:bidi="ar"/>
              </w:rPr>
              <w:t>Score</w:t>
            </w:r>
          </w:p>
        </w:tc>
      </w:tr>
      <w:tr w14:paraId="09847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7DCD6F7">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SimSun" w:cs="Calibri Light"/>
                <w:b/>
                <w:bCs/>
                <w:kern w:val="0"/>
                <w:sz w:val="20"/>
                <w:szCs w:val="20"/>
                <w:lang w:val="en-US" w:eastAsia="zh-CN" w:bidi="ar"/>
              </w:rPr>
              <w:t>Offre technique (80% de la note)</w:t>
            </w:r>
          </w:p>
        </w:tc>
        <w:tc>
          <w:tcPr>
            <w:tcW w:w="0" w:type="auto"/>
            <w:shd w:val="clear" w:color="auto" w:fill="auto"/>
            <w:tcMar>
              <w:top w:w="0" w:type="dxa"/>
              <w:left w:w="0" w:type="dxa"/>
              <w:bottom w:w="0" w:type="dxa"/>
              <w:right w:w="0" w:type="dxa"/>
            </w:tcMar>
            <w:vAlign w:val="center"/>
          </w:tcPr>
          <w:p w14:paraId="5ABBC946">
            <w:pPr>
              <w:rPr>
                <w:rFonts w:hint="default" w:ascii="Calibri Light" w:hAnsi="Calibri Light" w:cs="Calibri Light"/>
                <w:sz w:val="20"/>
                <w:szCs w:val="20"/>
              </w:rPr>
            </w:pPr>
          </w:p>
        </w:tc>
        <w:tc>
          <w:tcPr>
            <w:tcW w:w="0" w:type="auto"/>
            <w:shd w:val="clear" w:color="auto" w:fill="auto"/>
            <w:tcMar>
              <w:top w:w="0" w:type="dxa"/>
              <w:left w:w="0" w:type="dxa"/>
              <w:bottom w:w="0" w:type="dxa"/>
              <w:right w:w="0" w:type="dxa"/>
            </w:tcMar>
            <w:vAlign w:val="center"/>
          </w:tcPr>
          <w:p w14:paraId="21E67CD0">
            <w:pPr>
              <w:rPr>
                <w:rFonts w:hint="default" w:ascii="Calibri Light" w:hAnsi="Calibri Light" w:cs="Calibri Light"/>
                <w:sz w:val="20"/>
                <w:szCs w:val="20"/>
              </w:rPr>
            </w:pPr>
          </w:p>
        </w:tc>
      </w:tr>
      <w:tr w14:paraId="0DCAA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1FF30F6">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SimSun" w:cs="Calibri Light"/>
                <w:b/>
                <w:bCs/>
                <w:kern w:val="0"/>
                <w:sz w:val="20"/>
                <w:szCs w:val="20"/>
                <w:lang w:val="en-US" w:eastAsia="zh-CN" w:bidi="ar"/>
              </w:rPr>
              <w:t>Méthodologie proposée </w:t>
            </w:r>
          </w:p>
        </w:tc>
        <w:tc>
          <w:tcPr>
            <w:tcW w:w="0" w:type="auto"/>
            <w:shd w:val="clear" w:color="auto" w:fill="auto"/>
            <w:tcMar>
              <w:top w:w="0" w:type="dxa"/>
              <w:left w:w="0" w:type="dxa"/>
              <w:bottom w:w="0" w:type="dxa"/>
              <w:right w:w="0" w:type="dxa"/>
            </w:tcMar>
            <w:vAlign w:val="center"/>
          </w:tcPr>
          <w:p w14:paraId="2173BDCC">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Futura Md" w:cs="Calibri Light"/>
                <w:b/>
                <w:bCs/>
                <w:kern w:val="0"/>
                <w:sz w:val="20"/>
                <w:szCs w:val="20"/>
                <w:lang w:val="en-US" w:eastAsia="zh-CN" w:bidi="ar"/>
              </w:rPr>
              <w:t>40</w:t>
            </w:r>
            <w:r>
              <w:rPr>
                <w:rFonts w:hint="default" w:ascii="Calibri Light" w:hAnsi="Calibri Light" w:eastAsia="Futura Md" w:cs="Calibri Light"/>
                <w:kern w:val="0"/>
                <w:sz w:val="20"/>
                <w:szCs w:val="20"/>
                <w:lang w:val="en-US" w:eastAsia="zh-CN" w:bidi="ar"/>
              </w:rPr>
              <w:t> </w:t>
            </w:r>
          </w:p>
        </w:tc>
        <w:tc>
          <w:tcPr>
            <w:tcW w:w="0" w:type="auto"/>
            <w:shd w:val="clear" w:color="auto" w:fill="auto"/>
            <w:tcMar>
              <w:top w:w="0" w:type="dxa"/>
              <w:left w:w="0" w:type="dxa"/>
              <w:bottom w:w="0" w:type="dxa"/>
              <w:right w:w="0" w:type="dxa"/>
            </w:tcMar>
            <w:vAlign w:val="center"/>
          </w:tcPr>
          <w:p w14:paraId="5C324E87">
            <w:pPr>
              <w:rPr>
                <w:rFonts w:hint="default" w:ascii="Calibri Light" w:hAnsi="Calibri Light" w:cs="Calibri Light"/>
                <w:sz w:val="20"/>
                <w:szCs w:val="20"/>
              </w:rPr>
            </w:pPr>
          </w:p>
        </w:tc>
      </w:tr>
      <w:tr w14:paraId="6F4F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6D9CC76">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Futura Md" w:cs="Calibri Light"/>
                <w:kern w:val="0"/>
                <w:sz w:val="20"/>
                <w:szCs w:val="20"/>
                <w:lang w:val="en-US" w:eastAsia="zh-CN" w:bidi="ar"/>
              </w:rPr>
              <w:t>Qualité de l’approche méthodologique proposée </w:t>
            </w:r>
          </w:p>
        </w:tc>
        <w:tc>
          <w:tcPr>
            <w:tcW w:w="0" w:type="auto"/>
            <w:shd w:val="clear" w:color="auto" w:fill="auto"/>
            <w:tcMar>
              <w:top w:w="0" w:type="dxa"/>
              <w:left w:w="0" w:type="dxa"/>
              <w:bottom w:w="0" w:type="dxa"/>
              <w:right w:w="0" w:type="dxa"/>
            </w:tcMar>
            <w:vAlign w:val="center"/>
          </w:tcPr>
          <w:p w14:paraId="11989C5C">
            <w:pPr>
              <w:keepNext w:val="0"/>
              <w:keepLines w:val="0"/>
              <w:widowControl/>
              <w:suppressLineNumbers w:val="0"/>
              <w:jc w:val="left"/>
              <w:rPr>
                <w:rFonts w:hint="default" w:ascii="Calibri Light" w:hAnsi="Calibri Light" w:cs="Calibri Light"/>
                <w:sz w:val="20"/>
                <w:szCs w:val="20"/>
                <w:lang w:val="fr-FR"/>
              </w:rPr>
            </w:pPr>
            <w:r>
              <w:rPr>
                <w:rFonts w:hint="default" w:ascii="Calibri Light" w:hAnsi="Calibri Light" w:eastAsia="Futura Md" w:cs="Calibri Light"/>
                <w:kern w:val="0"/>
                <w:sz w:val="20"/>
                <w:szCs w:val="20"/>
                <w:lang w:val="en-US" w:eastAsia="zh-CN" w:bidi="ar"/>
              </w:rPr>
              <w:t>2</w:t>
            </w:r>
            <w:r>
              <w:rPr>
                <w:rFonts w:hint="default" w:ascii="Calibri Light" w:hAnsi="Calibri Light" w:eastAsia="Futura Md" w:cs="Calibri Light"/>
                <w:kern w:val="0"/>
                <w:sz w:val="20"/>
                <w:szCs w:val="20"/>
                <w:lang w:val="fr-FR" w:eastAsia="zh-CN" w:bidi="ar"/>
              </w:rPr>
              <w:t>0</w:t>
            </w:r>
          </w:p>
        </w:tc>
        <w:tc>
          <w:tcPr>
            <w:tcW w:w="0" w:type="auto"/>
            <w:shd w:val="clear" w:color="auto" w:fill="auto"/>
            <w:tcMar>
              <w:top w:w="0" w:type="dxa"/>
              <w:left w:w="0" w:type="dxa"/>
              <w:bottom w:w="0" w:type="dxa"/>
              <w:right w:w="0" w:type="dxa"/>
            </w:tcMar>
            <w:vAlign w:val="center"/>
          </w:tcPr>
          <w:p w14:paraId="0F929D2C">
            <w:pPr>
              <w:rPr>
                <w:rFonts w:hint="default" w:ascii="Calibri Light" w:hAnsi="Calibri Light" w:cs="Calibri Light"/>
                <w:sz w:val="20"/>
                <w:szCs w:val="20"/>
              </w:rPr>
            </w:pPr>
          </w:p>
        </w:tc>
      </w:tr>
      <w:tr w14:paraId="0459B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FE7FB1D">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Futura Md" w:cs="Calibri Light"/>
                <w:kern w:val="0"/>
                <w:sz w:val="20"/>
                <w:szCs w:val="20"/>
                <w:lang w:val="en-US" w:eastAsia="zh-CN" w:bidi="ar"/>
              </w:rPr>
              <w:t xml:space="preserve">Qualité </w:t>
            </w:r>
            <w:r>
              <w:rPr>
                <w:rFonts w:hint="default" w:ascii="Calibri Light" w:hAnsi="Calibri Light" w:eastAsia="Futura Md" w:cs="Calibri Light"/>
                <w:kern w:val="0"/>
                <w:sz w:val="20"/>
                <w:szCs w:val="20"/>
                <w:lang w:val="fr-FR" w:eastAsia="zh-CN" w:bidi="ar"/>
              </w:rPr>
              <w:t xml:space="preserve">de l’échéancier </w:t>
            </w:r>
            <w:r>
              <w:rPr>
                <w:rFonts w:hint="default" w:ascii="Calibri Light" w:hAnsi="Calibri Light" w:eastAsia="Futura Md" w:cs="Calibri Light"/>
                <w:kern w:val="0"/>
                <w:sz w:val="20"/>
                <w:szCs w:val="20"/>
                <w:lang w:val="en-US" w:eastAsia="zh-CN" w:bidi="ar"/>
              </w:rPr>
              <w:t xml:space="preserve">du plan de </w:t>
            </w:r>
            <w:r>
              <w:rPr>
                <w:rFonts w:hint="default" w:ascii="Calibri Light" w:hAnsi="Calibri Light" w:eastAsia="Futura Md" w:cs="Calibri Light"/>
                <w:kern w:val="0"/>
                <w:sz w:val="20"/>
                <w:szCs w:val="20"/>
                <w:lang w:val="fr-FR" w:eastAsia="zh-CN" w:bidi="ar"/>
              </w:rPr>
              <w:t>travail</w:t>
            </w:r>
            <w:r>
              <w:rPr>
                <w:rFonts w:hint="default" w:ascii="Calibri Light" w:hAnsi="Calibri Light" w:eastAsia="Futura Md" w:cs="Calibri Light"/>
                <w:kern w:val="0"/>
                <w:sz w:val="20"/>
                <w:szCs w:val="20"/>
                <w:lang w:val="en-US" w:eastAsia="zh-CN" w:bidi="ar"/>
              </w:rPr>
              <w:t xml:space="preserve"> proposé </w:t>
            </w:r>
          </w:p>
        </w:tc>
        <w:tc>
          <w:tcPr>
            <w:tcW w:w="0" w:type="auto"/>
            <w:shd w:val="clear" w:color="auto" w:fill="auto"/>
            <w:tcMar>
              <w:top w:w="0" w:type="dxa"/>
              <w:left w:w="0" w:type="dxa"/>
              <w:bottom w:w="0" w:type="dxa"/>
              <w:right w:w="0" w:type="dxa"/>
            </w:tcMar>
            <w:vAlign w:val="center"/>
          </w:tcPr>
          <w:p w14:paraId="3416CABB">
            <w:pPr>
              <w:keepNext w:val="0"/>
              <w:keepLines w:val="0"/>
              <w:widowControl/>
              <w:suppressLineNumbers w:val="0"/>
              <w:jc w:val="left"/>
              <w:rPr>
                <w:rFonts w:hint="default" w:ascii="Calibri Light" w:hAnsi="Calibri Light" w:cs="Calibri Light"/>
                <w:sz w:val="20"/>
                <w:szCs w:val="20"/>
                <w:lang w:val="fr-FR"/>
              </w:rPr>
            </w:pPr>
            <w:r>
              <w:rPr>
                <w:rFonts w:hint="default" w:ascii="Calibri Light" w:hAnsi="Calibri Light" w:cs="Calibri Light"/>
                <w:sz w:val="20"/>
                <w:szCs w:val="20"/>
                <w:lang w:val="fr-FR"/>
              </w:rPr>
              <w:t>20</w:t>
            </w:r>
          </w:p>
        </w:tc>
        <w:tc>
          <w:tcPr>
            <w:tcW w:w="0" w:type="auto"/>
            <w:shd w:val="clear" w:color="auto" w:fill="auto"/>
            <w:tcMar>
              <w:top w:w="0" w:type="dxa"/>
              <w:left w:w="0" w:type="dxa"/>
              <w:bottom w:w="0" w:type="dxa"/>
              <w:right w:w="0" w:type="dxa"/>
            </w:tcMar>
            <w:vAlign w:val="center"/>
          </w:tcPr>
          <w:p w14:paraId="428C7EF0">
            <w:pPr>
              <w:rPr>
                <w:rFonts w:hint="default" w:ascii="Calibri Light" w:hAnsi="Calibri Light" w:cs="Calibri Light"/>
                <w:sz w:val="20"/>
                <w:szCs w:val="20"/>
              </w:rPr>
            </w:pPr>
          </w:p>
        </w:tc>
      </w:tr>
      <w:tr w14:paraId="559B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8F35B58">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SimSun" w:cs="Calibri Light"/>
                <w:b/>
                <w:bCs/>
                <w:kern w:val="0"/>
                <w:sz w:val="20"/>
                <w:szCs w:val="20"/>
                <w:lang w:val="en-US" w:eastAsia="zh-CN" w:bidi="ar"/>
              </w:rPr>
              <w:t>Expert/expertise </w:t>
            </w:r>
          </w:p>
        </w:tc>
        <w:tc>
          <w:tcPr>
            <w:tcW w:w="0" w:type="auto"/>
            <w:shd w:val="clear" w:color="auto" w:fill="auto"/>
            <w:tcMar>
              <w:top w:w="0" w:type="dxa"/>
              <w:left w:w="0" w:type="dxa"/>
              <w:bottom w:w="0" w:type="dxa"/>
              <w:right w:w="0" w:type="dxa"/>
            </w:tcMar>
            <w:vAlign w:val="center"/>
          </w:tcPr>
          <w:p w14:paraId="5607A9CD">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Futura Md" w:cs="Calibri Light"/>
                <w:b/>
                <w:bCs/>
                <w:kern w:val="0"/>
                <w:sz w:val="20"/>
                <w:szCs w:val="20"/>
                <w:lang w:val="en-US" w:eastAsia="zh-CN" w:bidi="ar"/>
              </w:rPr>
              <w:t>40</w:t>
            </w:r>
          </w:p>
        </w:tc>
        <w:tc>
          <w:tcPr>
            <w:tcW w:w="0" w:type="auto"/>
            <w:shd w:val="clear" w:color="auto" w:fill="auto"/>
            <w:tcMar>
              <w:top w:w="0" w:type="dxa"/>
              <w:left w:w="0" w:type="dxa"/>
              <w:bottom w:w="0" w:type="dxa"/>
              <w:right w:w="0" w:type="dxa"/>
            </w:tcMar>
            <w:vAlign w:val="center"/>
          </w:tcPr>
          <w:p w14:paraId="26836AC5">
            <w:pPr>
              <w:rPr>
                <w:rFonts w:hint="default" w:ascii="Calibri Light" w:hAnsi="Calibri Light" w:cs="Calibri Light"/>
                <w:sz w:val="20"/>
                <w:szCs w:val="20"/>
              </w:rPr>
            </w:pPr>
          </w:p>
        </w:tc>
      </w:tr>
      <w:tr w14:paraId="50292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5C9EA2B">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Futura Md" w:cs="Calibri Light"/>
                <w:kern w:val="0"/>
                <w:sz w:val="20"/>
                <w:szCs w:val="20"/>
                <w:lang w:val="en-US" w:eastAsia="zh-CN" w:bidi="ar"/>
              </w:rPr>
              <w:t xml:space="preserve">Pertinence du profil </w:t>
            </w:r>
            <w:r>
              <w:rPr>
                <w:rFonts w:hint="default" w:ascii="Calibri Light" w:hAnsi="Calibri Light" w:eastAsia="Futura Md" w:cs="Calibri Light"/>
                <w:kern w:val="0"/>
                <w:sz w:val="20"/>
                <w:szCs w:val="20"/>
                <w:lang w:val="fr-FR" w:eastAsia="zh-CN" w:bidi="ar"/>
              </w:rPr>
              <w:t>du</w:t>
            </w:r>
            <w:r>
              <w:rPr>
                <w:rFonts w:hint="default" w:ascii="Calibri Light" w:hAnsi="Calibri Light" w:eastAsia="Futura Md" w:cs="Calibri Light"/>
                <w:kern w:val="0"/>
                <w:sz w:val="20"/>
                <w:szCs w:val="20"/>
                <w:lang w:val="en-US" w:eastAsia="zh-CN" w:bidi="ar"/>
              </w:rPr>
              <w:t xml:space="preserve"> consultant</w:t>
            </w:r>
          </w:p>
        </w:tc>
        <w:tc>
          <w:tcPr>
            <w:tcW w:w="0" w:type="auto"/>
            <w:shd w:val="clear" w:color="auto" w:fill="auto"/>
            <w:tcMar>
              <w:top w:w="0" w:type="dxa"/>
              <w:left w:w="0" w:type="dxa"/>
              <w:bottom w:w="0" w:type="dxa"/>
              <w:right w:w="0" w:type="dxa"/>
            </w:tcMar>
            <w:vAlign w:val="center"/>
          </w:tcPr>
          <w:p w14:paraId="634E1532">
            <w:pPr>
              <w:keepNext w:val="0"/>
              <w:keepLines w:val="0"/>
              <w:widowControl/>
              <w:suppressLineNumbers w:val="0"/>
              <w:jc w:val="left"/>
              <w:rPr>
                <w:rFonts w:hint="default" w:ascii="Calibri Light" w:hAnsi="Calibri Light" w:cs="Calibri Light"/>
                <w:sz w:val="20"/>
                <w:szCs w:val="20"/>
                <w:lang w:val="fr-FR"/>
              </w:rPr>
            </w:pPr>
            <w:r>
              <w:rPr>
                <w:rFonts w:hint="default" w:ascii="Calibri Light" w:hAnsi="Calibri Light" w:cs="Calibri Light"/>
                <w:sz w:val="20"/>
                <w:szCs w:val="20"/>
                <w:lang w:val="fr-FR"/>
              </w:rPr>
              <w:t>20</w:t>
            </w:r>
          </w:p>
        </w:tc>
        <w:tc>
          <w:tcPr>
            <w:tcW w:w="0" w:type="auto"/>
            <w:shd w:val="clear" w:color="auto" w:fill="auto"/>
            <w:tcMar>
              <w:top w:w="0" w:type="dxa"/>
              <w:left w:w="0" w:type="dxa"/>
              <w:bottom w:w="0" w:type="dxa"/>
              <w:right w:w="0" w:type="dxa"/>
            </w:tcMar>
            <w:vAlign w:val="center"/>
          </w:tcPr>
          <w:p w14:paraId="66C7ECC8">
            <w:pPr>
              <w:rPr>
                <w:rFonts w:hint="default" w:ascii="Calibri Light" w:hAnsi="Calibri Light" w:cs="Calibri Light"/>
                <w:sz w:val="20"/>
                <w:szCs w:val="20"/>
              </w:rPr>
            </w:pPr>
          </w:p>
        </w:tc>
      </w:tr>
      <w:tr w14:paraId="078B1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4BF5498">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Futura Md" w:cs="Calibri Light"/>
                <w:kern w:val="0"/>
                <w:sz w:val="20"/>
                <w:szCs w:val="20"/>
                <w:lang w:val="en-US" w:eastAsia="zh-CN" w:bidi="ar"/>
              </w:rPr>
              <w:t>Expérience professionnelle </w:t>
            </w:r>
          </w:p>
        </w:tc>
        <w:tc>
          <w:tcPr>
            <w:tcW w:w="0" w:type="auto"/>
            <w:shd w:val="clear" w:color="auto" w:fill="auto"/>
            <w:tcMar>
              <w:top w:w="0" w:type="dxa"/>
              <w:left w:w="0" w:type="dxa"/>
              <w:bottom w:w="0" w:type="dxa"/>
              <w:right w:w="0" w:type="dxa"/>
            </w:tcMar>
            <w:vAlign w:val="center"/>
          </w:tcPr>
          <w:p w14:paraId="57F843D8">
            <w:pPr>
              <w:keepNext w:val="0"/>
              <w:keepLines w:val="0"/>
              <w:widowControl/>
              <w:suppressLineNumbers w:val="0"/>
              <w:jc w:val="left"/>
              <w:rPr>
                <w:rFonts w:hint="default" w:ascii="Calibri Light" w:hAnsi="Calibri Light" w:cs="Calibri Light"/>
                <w:sz w:val="20"/>
                <w:szCs w:val="20"/>
                <w:lang w:val="fr-FR"/>
              </w:rPr>
            </w:pPr>
            <w:r>
              <w:rPr>
                <w:rFonts w:hint="default" w:ascii="Calibri Light" w:hAnsi="Calibri Light" w:cs="Calibri Light"/>
                <w:sz w:val="20"/>
                <w:szCs w:val="20"/>
                <w:lang w:val="fr-FR"/>
              </w:rPr>
              <w:t>20</w:t>
            </w:r>
          </w:p>
        </w:tc>
        <w:tc>
          <w:tcPr>
            <w:tcW w:w="0" w:type="auto"/>
            <w:shd w:val="clear" w:color="auto" w:fill="auto"/>
            <w:tcMar>
              <w:top w:w="0" w:type="dxa"/>
              <w:left w:w="0" w:type="dxa"/>
              <w:bottom w:w="0" w:type="dxa"/>
              <w:right w:w="0" w:type="dxa"/>
            </w:tcMar>
            <w:vAlign w:val="center"/>
          </w:tcPr>
          <w:p w14:paraId="020FA239">
            <w:pPr>
              <w:rPr>
                <w:rFonts w:hint="default" w:ascii="Calibri Light" w:hAnsi="Calibri Light" w:cs="Calibri Light"/>
                <w:sz w:val="20"/>
                <w:szCs w:val="20"/>
              </w:rPr>
            </w:pPr>
          </w:p>
        </w:tc>
      </w:tr>
      <w:tr w14:paraId="5DF1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E4985D4">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SimSun" w:cs="Calibri Light"/>
                <w:b/>
                <w:bCs/>
                <w:kern w:val="0"/>
                <w:sz w:val="20"/>
                <w:szCs w:val="20"/>
                <w:lang w:val="en-US" w:eastAsia="zh-CN" w:bidi="ar"/>
              </w:rPr>
              <w:t>Offre financière (20% de la note) </w:t>
            </w:r>
          </w:p>
        </w:tc>
        <w:tc>
          <w:tcPr>
            <w:tcW w:w="0" w:type="auto"/>
            <w:shd w:val="clear" w:color="auto" w:fill="auto"/>
            <w:tcMar>
              <w:top w:w="0" w:type="dxa"/>
              <w:left w:w="0" w:type="dxa"/>
              <w:bottom w:w="0" w:type="dxa"/>
              <w:right w:w="0" w:type="dxa"/>
            </w:tcMar>
            <w:vAlign w:val="center"/>
          </w:tcPr>
          <w:p w14:paraId="4C4E2CBD">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SimSun" w:cs="Calibri Light"/>
                <w:b/>
                <w:bCs/>
                <w:kern w:val="0"/>
                <w:sz w:val="20"/>
                <w:szCs w:val="20"/>
                <w:lang w:val="en-US" w:eastAsia="zh-CN" w:bidi="ar"/>
              </w:rPr>
              <w:t>20</w:t>
            </w:r>
          </w:p>
        </w:tc>
        <w:tc>
          <w:tcPr>
            <w:tcW w:w="0" w:type="auto"/>
            <w:shd w:val="clear" w:color="auto" w:fill="auto"/>
            <w:tcMar>
              <w:top w:w="0" w:type="dxa"/>
              <w:left w:w="0" w:type="dxa"/>
              <w:bottom w:w="0" w:type="dxa"/>
              <w:right w:w="0" w:type="dxa"/>
            </w:tcMar>
            <w:vAlign w:val="center"/>
          </w:tcPr>
          <w:p w14:paraId="70E970B5">
            <w:pPr>
              <w:rPr>
                <w:rFonts w:hint="default" w:ascii="Calibri Light" w:hAnsi="Calibri Light" w:cs="Calibri Light"/>
                <w:sz w:val="20"/>
                <w:szCs w:val="20"/>
              </w:rPr>
            </w:pPr>
          </w:p>
        </w:tc>
      </w:tr>
      <w:tr w14:paraId="503A6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933A577">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SimSun" w:cs="Calibri Light"/>
                <w:b/>
                <w:bCs/>
                <w:kern w:val="0"/>
                <w:sz w:val="20"/>
                <w:szCs w:val="20"/>
                <w:lang w:val="en-US" w:eastAsia="zh-CN" w:bidi="ar"/>
              </w:rPr>
              <w:t>Score global </w:t>
            </w:r>
          </w:p>
        </w:tc>
        <w:tc>
          <w:tcPr>
            <w:tcW w:w="0" w:type="auto"/>
            <w:shd w:val="clear" w:color="auto" w:fill="auto"/>
            <w:tcMar>
              <w:top w:w="0" w:type="dxa"/>
              <w:left w:w="0" w:type="dxa"/>
              <w:bottom w:w="0" w:type="dxa"/>
              <w:right w:w="0" w:type="dxa"/>
            </w:tcMar>
            <w:vAlign w:val="center"/>
          </w:tcPr>
          <w:p w14:paraId="2A3EB48F">
            <w:pPr>
              <w:keepNext w:val="0"/>
              <w:keepLines w:val="0"/>
              <w:widowControl/>
              <w:suppressLineNumbers w:val="0"/>
              <w:jc w:val="left"/>
              <w:rPr>
                <w:rFonts w:hint="default" w:ascii="Calibri Light" w:hAnsi="Calibri Light" w:cs="Calibri Light"/>
                <w:sz w:val="20"/>
                <w:szCs w:val="20"/>
              </w:rPr>
            </w:pPr>
            <w:r>
              <w:rPr>
                <w:rFonts w:hint="default" w:ascii="Calibri Light" w:hAnsi="Calibri Light" w:eastAsia="SimSun" w:cs="Calibri Light"/>
                <w:b/>
                <w:bCs/>
                <w:kern w:val="0"/>
                <w:sz w:val="20"/>
                <w:szCs w:val="20"/>
                <w:lang w:val="en-US" w:eastAsia="zh-CN" w:bidi="ar"/>
              </w:rPr>
              <w:t>100</w:t>
            </w:r>
          </w:p>
        </w:tc>
        <w:tc>
          <w:tcPr>
            <w:tcW w:w="0" w:type="auto"/>
            <w:shd w:val="clear" w:color="auto" w:fill="auto"/>
            <w:tcMar>
              <w:top w:w="0" w:type="dxa"/>
              <w:left w:w="0" w:type="dxa"/>
              <w:bottom w:w="0" w:type="dxa"/>
              <w:right w:w="0" w:type="dxa"/>
            </w:tcMar>
            <w:vAlign w:val="center"/>
          </w:tcPr>
          <w:p w14:paraId="5A8D9912">
            <w:pPr>
              <w:rPr>
                <w:rFonts w:hint="default" w:ascii="Calibri Light" w:hAnsi="Calibri Light" w:cs="Calibri Light"/>
                <w:sz w:val="20"/>
                <w:szCs w:val="20"/>
              </w:rPr>
            </w:pPr>
          </w:p>
        </w:tc>
      </w:tr>
    </w:tbl>
    <w:p w14:paraId="039CC004">
      <w:pPr>
        <w:pStyle w:val="4"/>
        <w:keepNext w:val="0"/>
        <w:keepLines w:val="0"/>
        <w:widowControl/>
        <w:suppressLineNumbers w:val="0"/>
        <w:spacing w:before="0" w:beforeAutospacing="0" w:after="360" w:afterAutospacing="0"/>
        <w:ind w:left="0" w:right="0"/>
        <w:rPr>
          <w:rFonts w:hint="default" w:ascii="Calibri Light" w:hAnsi="Calibri Light" w:eastAsia="Futura Md" w:cs="Calibri Light"/>
          <w:sz w:val="20"/>
          <w:szCs w:val="20"/>
        </w:rPr>
      </w:pPr>
      <w:r>
        <w:rPr>
          <w:rFonts w:hint="default" w:ascii="Calibri Light" w:hAnsi="Calibri Light" w:eastAsia="Futura Md" w:cs="Calibri Light"/>
          <w:sz w:val="20"/>
          <w:szCs w:val="20"/>
          <w:shd w:val="clear" w:fill="FFFFFF"/>
        </w:rPr>
        <w:t> </w:t>
      </w:r>
    </w:p>
    <w:p w14:paraId="3DD08A11">
      <w:pPr>
        <w:pStyle w:val="4"/>
        <w:keepNext w:val="0"/>
        <w:keepLines w:val="0"/>
        <w:widowControl/>
        <w:suppressLineNumbers w:val="0"/>
        <w:spacing w:before="0" w:beforeAutospacing="0" w:after="360" w:afterAutospacing="0"/>
        <w:ind w:left="0" w:right="0"/>
        <w:rPr>
          <w:rFonts w:hint="default" w:ascii="Calibri Light" w:hAnsi="Calibri Light" w:eastAsia="Futura Md" w:cs="Calibri Light"/>
          <w:sz w:val="20"/>
          <w:szCs w:val="20"/>
          <w:lang w:val="en-US" w:eastAsia="zh-CN"/>
        </w:rPr>
      </w:pPr>
      <w:r>
        <w:rPr>
          <w:rFonts w:hint="default" w:ascii="Calibri Light" w:hAnsi="Calibri Light" w:eastAsia="Futura Md" w:cs="Calibri Light"/>
          <w:b/>
          <w:bCs/>
          <w:sz w:val="20"/>
          <w:szCs w:val="20"/>
          <w:shd w:val="clear" w:fill="FFFFFF"/>
        </w:rPr>
        <w:t>Seul.e.s les candidat.e.s retenu.e.s seront contacté.e.s.  </w:t>
      </w:r>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Bold">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Futura Md">
    <w:altName w:val="Segoe Print"/>
    <w:panose1 w:val="00000000000000000000"/>
    <w:charset w:val="00"/>
    <w:family w:val="auto"/>
    <w:pitch w:val="default"/>
    <w:sig w:usb0="00000000" w:usb1="00000000" w:usb2="00000000" w:usb3="00000000" w:csb0="00000000" w:csb1="00000000"/>
  </w:font>
  <w:font w:name="Calibri-BoldItalic">
    <w:altName w:val="Segoe Print"/>
    <w:panose1 w:val="00000000000000000000"/>
    <w:charset w:val="00"/>
    <w:family w:val="auto"/>
    <w:pitch w:val="default"/>
    <w:sig w:usb0="00000000" w:usb1="00000000" w:usb2="00000000" w:usb3="00000000" w:csb0="00000000" w:csb1="00000000"/>
  </w:font>
  <w:font w:name="Calibri-Italic">
    <w:altName w:val="Segoe Print"/>
    <w:panose1 w:val="00000000000000000000"/>
    <w:charset w:val="00"/>
    <w:family w:val="auto"/>
    <w:pitch w:val="default"/>
    <w:sig w:usb0="00000000" w:usb1="00000000" w:usb2="00000000" w:usb3="00000000" w:csb0="00000000" w:csb1="00000000"/>
  </w:font>
  <w:font w:name="Andalus">
    <w:panose1 w:val="02020603050405020304"/>
    <w:charset w:val="00"/>
    <w:family w:val="roman"/>
    <w:pitch w:val="default"/>
    <w:sig w:usb0="00002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E4E5A">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ED92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60AED92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42533">
    <w:pPr>
      <w:ind w:right="-142"/>
      <w:jc w:val="center"/>
      <w:rPr>
        <w:b/>
        <w:bCs/>
        <w:color w:val="FF0000"/>
        <w:sz w:val="20"/>
        <w:szCs w:val="20"/>
      </w:rPr>
    </w:pPr>
    <w:r>
      <w:rPr>
        <w:b/>
        <w:bCs/>
        <w:color w:val="FF0000"/>
      </w:rPr>
      <w:drawing>
        <wp:anchor distT="0" distB="0" distL="0" distR="0" simplePos="0" relativeHeight="251661312" behindDoc="0" locked="0" layoutInCell="1" allowOverlap="1">
          <wp:simplePos x="0" y="0"/>
          <wp:positionH relativeFrom="column">
            <wp:posOffset>-285750</wp:posOffset>
          </wp:positionH>
          <wp:positionV relativeFrom="paragraph">
            <wp:posOffset>-123825</wp:posOffset>
          </wp:positionV>
          <wp:extent cx="864235" cy="560705"/>
          <wp:effectExtent l="0" t="0" r="12065" b="10795"/>
          <wp:wrapNone/>
          <wp:docPr id="5" name="Image 1" descr="C:\Users\admin\Desktop\logo ati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C:\Users\admin\Desktop\logo atiost.jpg"/>
                  <pic:cNvPicPr>
                    <a:picLocks noChangeAspect="1" noChangeArrowheads="1"/>
                  </pic:cNvPicPr>
                </pic:nvPicPr>
                <pic:blipFill>
                  <a:blip r:embed="rId1"/>
                  <a:srcRect/>
                  <a:stretch>
                    <a:fillRect/>
                  </a:stretch>
                </pic:blipFill>
                <pic:spPr>
                  <a:xfrm>
                    <a:off x="0" y="0"/>
                    <a:ext cx="867081" cy="562535"/>
                  </a:xfrm>
                  <a:prstGeom prst="rect">
                    <a:avLst/>
                  </a:prstGeom>
                  <a:noFill/>
                  <a:ln w="9525">
                    <a:noFill/>
                    <a:miter lim="800000"/>
                    <a:headEnd/>
                    <a:tailEnd/>
                  </a:ln>
                </pic:spPr>
              </pic:pic>
            </a:graphicData>
          </a:graphic>
        </wp:anchor>
      </w:drawing>
    </w:r>
    <w:r>
      <w:rPr>
        <w:b/>
        <w:bCs/>
        <w:color w:val="FF0000"/>
        <w:sz w:val="18"/>
        <w:szCs w:val="18"/>
      </w:rPr>
      <w:t>A</w:t>
    </w:r>
    <w:r>
      <w:rPr>
        <w:b/>
        <w:bCs/>
        <w:sz w:val="18"/>
        <w:szCs w:val="18"/>
      </w:rPr>
      <w:t xml:space="preserve">ssociation </w:t>
    </w:r>
    <w:r>
      <w:rPr>
        <w:b/>
        <w:bCs/>
        <w:color w:val="FF0000"/>
        <w:sz w:val="18"/>
        <w:szCs w:val="18"/>
      </w:rPr>
      <w:t>T</w:t>
    </w:r>
    <w:r>
      <w:rPr>
        <w:b/>
        <w:bCs/>
        <w:sz w:val="18"/>
        <w:szCs w:val="18"/>
      </w:rPr>
      <w:t>unisienne d’</w:t>
    </w:r>
    <w:r>
      <w:rPr>
        <w:b/>
        <w:bCs/>
        <w:color w:val="FF0000"/>
        <w:sz w:val="18"/>
        <w:szCs w:val="18"/>
      </w:rPr>
      <w:t>I</w:t>
    </w:r>
    <w:r>
      <w:rPr>
        <w:b/>
        <w:bCs/>
        <w:sz w:val="18"/>
        <w:szCs w:val="18"/>
      </w:rPr>
      <w:t>nformation et d’</w:t>
    </w:r>
    <w:r>
      <w:rPr>
        <w:b/>
        <w:bCs/>
        <w:color w:val="FF0000"/>
        <w:sz w:val="18"/>
        <w:szCs w:val="18"/>
      </w:rPr>
      <w:t>O</w:t>
    </w:r>
    <w:r>
      <w:rPr>
        <w:b/>
        <w:bCs/>
        <w:sz w:val="18"/>
        <w:szCs w:val="18"/>
      </w:rPr>
      <w:t xml:space="preserve">rientation sur le </w:t>
    </w:r>
    <w:r>
      <w:rPr>
        <w:b/>
        <w:bCs/>
        <w:color w:val="FF0000"/>
        <w:sz w:val="18"/>
        <w:szCs w:val="18"/>
      </w:rPr>
      <w:t>S</w:t>
    </w:r>
    <w:r>
      <w:rPr>
        <w:b/>
        <w:bCs/>
        <w:sz w:val="18"/>
        <w:szCs w:val="18"/>
      </w:rPr>
      <w:t xml:space="preserve">IDA et la </w:t>
    </w:r>
    <w:r>
      <w:rPr>
        <w:b/>
        <w:bCs/>
        <w:color w:val="FF0000"/>
        <w:sz w:val="18"/>
        <w:szCs w:val="18"/>
      </w:rPr>
      <w:t>T</w:t>
    </w:r>
    <w:r>
      <w:rPr>
        <w:b/>
        <w:bCs/>
        <w:sz w:val="18"/>
        <w:szCs w:val="18"/>
      </w:rPr>
      <w:t>oxicomanie</w:t>
    </w:r>
  </w:p>
  <w:p w14:paraId="0ED49728">
    <w:pPr>
      <w:pStyle w:val="6"/>
      <w:jc w:val="center"/>
      <w:rPr>
        <w:rFonts w:hint="cs" w:cs="Andalus"/>
        <w:sz w:val="32"/>
        <w:szCs w:val="32"/>
        <w:rtl/>
        <w:lang w:bidi="ar-TN"/>
      </w:rPr>
    </w:pPr>
    <w:r>
      <w:rPr>
        <w:rFonts w:hint="cs" w:cs="Andalus"/>
        <w:sz w:val="32"/>
        <w:szCs w:val="32"/>
        <w:rtl/>
      </w:rPr>
      <w:t>الجمعية التونسية للإرشاد و التوجيه حول السيدا</w:t>
    </w:r>
    <w:r>
      <w:rPr>
        <w:rFonts w:hint="cs" w:cs="Andalus"/>
        <w:sz w:val="32"/>
        <w:szCs w:val="32"/>
        <w:rtl/>
        <w:lang w:bidi="ar-TN"/>
      </w:rPr>
      <w:t xml:space="preserve"> و الإدمان</w:t>
    </w:r>
  </w:p>
  <w:p w14:paraId="014A0AA5">
    <w:pPr>
      <w:pStyle w:val="6"/>
      <w:jc w:val="center"/>
      <w:rPr>
        <w:rFonts w:hint="cs" w:cs="Andalus"/>
        <w:sz w:val="32"/>
        <w:szCs w:val="32"/>
        <w:rtl/>
        <w:lang w:bidi="ar-T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78CB7"/>
    <w:multiLevelType w:val="singleLevel"/>
    <w:tmpl w:val="FFA78CB7"/>
    <w:lvl w:ilvl="0" w:tentative="0">
      <w:start w:val="1"/>
      <w:numFmt w:val="decimal"/>
      <w:suff w:val="space"/>
      <w:lvlText w:val="%1."/>
      <w:lvlJc w:val="left"/>
    </w:lvl>
  </w:abstractNum>
  <w:abstractNum w:abstractNumId="1">
    <w:nsid w:val="2E64FFE7"/>
    <w:multiLevelType w:val="singleLevel"/>
    <w:tmpl w:val="2E64FFE7"/>
    <w:lvl w:ilvl="0" w:tentative="0">
      <w:start w:val="8"/>
      <w:numFmt w:val="decimal"/>
      <w:suff w:val="space"/>
      <w:lvlText w:val="%1."/>
      <w:lvlJc w:val="left"/>
    </w:lvl>
  </w:abstractNum>
  <w:abstractNum w:abstractNumId="2">
    <w:nsid w:val="61123554"/>
    <w:multiLevelType w:val="singleLevel"/>
    <w:tmpl w:val="61123554"/>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51441"/>
    <w:rsid w:val="020F7C6E"/>
    <w:rsid w:val="03271CF1"/>
    <w:rsid w:val="036D6CA7"/>
    <w:rsid w:val="0BE23136"/>
    <w:rsid w:val="14151441"/>
    <w:rsid w:val="145762AA"/>
    <w:rsid w:val="16A971E2"/>
    <w:rsid w:val="2F8F15A0"/>
    <w:rsid w:val="34DF19A2"/>
    <w:rsid w:val="395B1A28"/>
    <w:rsid w:val="3A775AA1"/>
    <w:rsid w:val="440730D0"/>
    <w:rsid w:val="482D5A03"/>
    <w:rsid w:val="4BC62B78"/>
    <w:rsid w:val="530961FB"/>
    <w:rsid w:val="53991B62"/>
    <w:rsid w:val="53D67BC3"/>
    <w:rsid w:val="582B6A0B"/>
    <w:rsid w:val="589368E0"/>
    <w:rsid w:val="598F21EC"/>
    <w:rsid w:val="602A7D10"/>
    <w:rsid w:val="61826B9A"/>
    <w:rsid w:val="65B55790"/>
    <w:rsid w:val="66927488"/>
    <w:rsid w:val="6BC57F6B"/>
    <w:rsid w:val="6DB92A44"/>
    <w:rsid w:val="6F165B7E"/>
    <w:rsid w:val="72523DB3"/>
    <w:rsid w:val="72C132D3"/>
    <w:rsid w:val="75BD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3">
    <w:name w:val="Hyperlink"/>
    <w:basedOn w:val="2"/>
    <w:qFormat/>
    <w:uiPriority w:val="0"/>
    <w:rPr>
      <w:color w:val="0000FF"/>
      <w:u w:val="single"/>
    </w:r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2024-09-02T21:58:00Z</dcterms:created>
  <dc:creator>lenovo</dc:creator>
  <cp:lastModifiedBy>HELLA</cp:lastModifiedBy>
  <cp:lastPrinted>2024-09-03T06:00:00Z</cp:lastPrinted>
  <dcterms:modified xsi:type="dcterms:W3CDTF">2024-10-10T09:41:11Z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1036-12.2.0.17562</vt:lpwstr>
  </property>
  <property fmtid="{D5CDD505-2E9C-101B-9397-08002B2CF9AE}" pid="3" name="ICV">
    <vt:lpwstr>87B713DC2CB64319BA17D253082A911E_13</vt:lpwstr>
  </property>
</Properties>
</file>